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STR 03 Portfolio Review</w:t>
      </w:r>
    </w:p>
    <w:p>
      <w:pPr>
        <w:spacing w:after="200"/>
      </w:pPr>
      <w:r>
        <w:rPr>
          <w:i/>
          <w:color w:val="4B5B7C"/>
          <w:sz w:val="22"/>
        </w:rPr>
        <w:t>Review · Internal</w:t>
      </w:r>
    </w:p>
    <w:p>
      <w:pPr>
        <w:spacing w:after="40"/>
      </w:pPr>
      <w:r>
        <w:rPr>
          <w:b/>
          <w:color w:val="1F2D55"/>
          <w:sz w:val="20"/>
        </w:rPr>
        <w:t xml:space="preserve">Review reference:  </w:t>
      </w:r>
      <w:r>
        <w:rPr>
          <w:sz w:val="20"/>
        </w:rPr>
        <w:t>REV-2026-231</w:t>
      </w:r>
    </w:p>
    <w:p>
      <w:pPr>
        <w:spacing w:after="40"/>
      </w:pPr>
      <w:r>
        <w:rPr>
          <w:b/>
          <w:color w:val="1F2D55"/>
          <w:sz w:val="20"/>
        </w:rPr>
        <w:t xml:space="preserve">Sponsor:  </w:t>
      </w:r>
      <w:r>
        <w:rPr>
          <w:sz w:val="20"/>
        </w:rPr>
        <w:t>Group CFO</w:t>
      </w:r>
    </w:p>
    <w:p>
      <w:pPr>
        <w:spacing w:after="40"/>
      </w:pPr>
      <w:r>
        <w:rPr>
          <w:b/>
          <w:color w:val="1F2D55"/>
          <w:sz w:val="20"/>
        </w:rPr>
        <w:t xml:space="preserve">Lead reviewer:  </w:t>
      </w:r>
      <w:r>
        <w:rPr>
          <w:sz w:val="20"/>
        </w:rPr>
        <w:t>Group Strategy &amp; Insights</w:t>
      </w:r>
    </w:p>
    <w:p>
      <w:pPr>
        <w:spacing w:after="40"/>
      </w:pPr>
      <w:r>
        <w:rPr>
          <w:b/>
          <w:color w:val="1F2D55"/>
          <w:sz w:val="20"/>
        </w:rPr>
        <w:t xml:space="preserve">Period:  </w:t>
      </w:r>
      <w:r>
        <w:rPr>
          <w:sz w:val="20"/>
        </w:rPr>
        <w:t>FY2026 H1</w:t>
      </w:r>
    </w:p>
    <w:p>
      <w:pPr>
        <w:spacing w:after="40"/>
      </w:pPr>
      <w:r>
        <w:rPr>
          <w:b/>
          <w:color w:val="1F2D55"/>
          <w:sz w:val="20"/>
        </w:rPr>
        <w:t xml:space="preserve">Issue date:  </w:t>
      </w:r>
      <w:r>
        <w:rPr>
          <w:sz w:val="20"/>
        </w:rPr>
        <w:t>17 May 2026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STR_03_Portfolio_Review.docx</w:t>
      </w:r>
    </w:p>
    <w:p>
      <w:pPr>
        <w:spacing w:before="240" w:after="80"/>
      </w:pPr>
      <w:r>
        <w:rPr>
          <w:b/>
          <w:color w:val="1F2D55"/>
          <w:sz w:val="26"/>
        </w:rPr>
        <w:t>1. Scope and approach</w:t>
      </w:r>
    </w:p>
    <w:p>
      <w:pPr>
        <w:spacing w:after="80"/>
      </w:pPr>
      <w:r>
        <w:rPr>
          <w:i w:val="0"/>
          <w:sz w:val="20"/>
        </w:rPr>
        <w:t>This review assesses the area indicated in the title across the in-scope divisions and Group functions for the period stated above. The approach combined desk review of policy and process documentation, transactional data extraction, management interviews and an external benchmark scan.</w:t>
      </w:r>
    </w:p>
    <w:p>
      <w:pPr>
        <w:spacing w:before="240" w:after="80"/>
      </w:pPr>
      <w:r>
        <w:rPr>
          <w:b/>
          <w:color w:val="1F2D55"/>
          <w:sz w:val="26"/>
        </w:rPr>
        <w:t>2. Headline findings</w:t>
      </w:r>
    </w:p>
    <w:p>
      <w:pPr>
        <w:spacing w:after="80"/>
      </w:pPr>
      <w:r>
        <w:rPr>
          <w:i w:val="0"/>
          <w:sz w:val="20"/>
        </w:rPr>
        <w:t>Three observations dominate. First, the design of the controls and processes is broadly sound; we did not find structural design failures. Second, the operating effectiveness varies meaningfully between divisions: the top three perform at benchmark; the bottom three lag by 200-400 bps on the key KPIs. Third, the data infrastructure supporting reporting is the binding constraint for further improvement; targeted investment here would unlock measurable gains.</w:t>
      </w:r>
    </w:p>
    <w:p>
      <w:pPr>
        <w:spacing w:before="240" w:after="80"/>
      </w:pPr>
      <w:r>
        <w:rPr>
          <w:b/>
          <w:color w:val="1F2D55"/>
          <w:sz w:val="26"/>
        </w:rPr>
        <w:t>3. What we examined</w:t>
      </w:r>
    </w:p>
    <w:p>
      <w:pPr>
        <w:pStyle w:val="ListBullet"/>
        <w:spacing w:after="40"/>
      </w:pPr>
      <w:r>
        <w:rPr>
          <w:sz w:val="20"/>
        </w:rPr>
        <w:t>Policy and process documentation across 11 divisions and 9 Group functions.</w:t>
      </w:r>
    </w:p>
    <w:p>
      <w:pPr>
        <w:pStyle w:val="ListBullet"/>
        <w:spacing w:after="40"/>
      </w:pPr>
      <w:r>
        <w:rPr>
          <w:sz w:val="20"/>
        </w:rPr>
        <w:t>Transactional data extracts from S/4HANA and supporting systems (full populations where possible).</w:t>
      </w:r>
    </w:p>
    <w:p>
      <w:pPr>
        <w:pStyle w:val="ListBullet"/>
        <w:spacing w:after="40"/>
      </w:pPr>
      <w:r>
        <w:rPr>
          <w:sz w:val="20"/>
        </w:rPr>
        <w:t>47 management interviews across divisional and Group levels.</w:t>
      </w:r>
    </w:p>
    <w:p>
      <w:pPr>
        <w:pStyle w:val="ListBullet"/>
        <w:spacing w:after="40"/>
      </w:pPr>
      <w:r>
        <w:rPr>
          <w:sz w:val="20"/>
        </w:rPr>
        <w:t>External benchmark scan covering 12 ASEAN conglomerates and 6 global comparators.</w:t>
      </w:r>
    </w:p>
    <w:p>
      <w:pPr>
        <w:pStyle w:val="ListBullet"/>
        <w:spacing w:after="40"/>
      </w:pPr>
      <w:r>
        <w:rPr>
          <w:sz w:val="20"/>
        </w:rPr>
        <w:t>Site walk-throughs at 5 representative locations (3 MY, 2 ID).</w:t>
      </w:r>
    </w:p>
    <w:p>
      <w:pPr>
        <w:spacing w:before="240" w:after="80"/>
      </w:pPr>
      <w:r>
        <w:rPr>
          <w:b/>
          <w:color w:val="1F2D55"/>
          <w:sz w:val="26"/>
        </w:rPr>
        <w:t>4. Detailed observations</w:t>
      </w:r>
    </w:p>
    <w:p>
      <w:pPr>
        <w:spacing w:before="160" w:after="40"/>
      </w:pPr>
      <w:r>
        <w:rPr>
          <w:b/>
          <w:color w:val="4B5B7C"/>
          <w:sz w:val="22"/>
        </w:rPr>
        <w:t>4.1 Control design</w:t>
      </w:r>
    </w:p>
    <w:p>
      <w:pPr>
        <w:spacing w:after="80"/>
      </w:pPr>
      <w:r>
        <w:rPr>
          <w:i w:val="0"/>
          <w:sz w:val="20"/>
        </w:rPr>
        <w:t>The control design across the in-scope process is consistent with international good practice. Authorisation thresholds align with the Group Authority Matrix. Segregation of duties is enforced at the system level for high-risk transactions. Two exceptions were identified: (a) at one division, an interim shared-services set-up has dual roles assigned to a single user pending the permanent hire; (b) the privileged-access review cadence had lapsed at one location.</w:t>
      </w:r>
    </w:p>
    <w:p>
      <w:pPr>
        <w:spacing w:before="160" w:after="40"/>
      </w:pPr>
      <w:r>
        <w:rPr>
          <w:b/>
          <w:color w:val="4B5B7C"/>
          <w:sz w:val="22"/>
        </w:rPr>
        <w:t>4.2 Operating effectiveness</w:t>
      </w:r>
    </w:p>
    <w:p>
      <w:pPr>
        <w:spacing w:after="80"/>
      </w:pPr>
      <w:r>
        <w:rPr>
          <w:i w:val="0"/>
          <w:sz w:val="20"/>
        </w:rPr>
        <w:t>Of the 14 controls tested, 11 operated effectively throughout the period. Three operated effectively for most of the period but had exception events: the privileged-access lapse, the dual-role assignment, and a one-off three-way-match override at a remote location. All three are documented in the action register.</w:t>
      </w:r>
    </w:p>
    <w:p>
      <w:pPr>
        <w:spacing w:before="160" w:after="40"/>
      </w:pPr>
      <w:r>
        <w:rPr>
          <w:b/>
          <w:color w:val="4B5B7C"/>
          <w:sz w:val="22"/>
        </w:rPr>
        <w:t>4.3 Data and reporting</w:t>
      </w:r>
    </w:p>
    <w:p>
      <w:pPr>
        <w:spacing w:after="80"/>
      </w:pPr>
      <w:r>
        <w:rPr>
          <w:i w:val="0"/>
          <w:sz w:val="20"/>
        </w:rPr>
        <w:t>Data quality indices show meaningful improvement over the prior period (+22% YoY for the in-scope dataset) but remain below the 90% threshold required for confident automation. The principal gap is master-data hygiene for vendors and cost centres; a targeted remediation programme is under way with completion expected end-FY2026.</w:t>
      </w:r>
    </w:p>
    <w:p>
      <w:pPr>
        <w:spacing w:before="240" w:after="80"/>
      </w:pPr>
      <w:r>
        <w:rPr>
          <w:b/>
          <w:color w:val="1F2D55"/>
          <w:sz w:val="26"/>
        </w:rPr>
        <w:t>5. Benchmark perspective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Group avg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Top-quartile peer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Best-in-class peer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Gap to best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Process cycle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-7.4 days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Automation coverage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-30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Exception rate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-2.1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First-time-right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-15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Cost per transaction (MYR)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-6.80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6. Recommendations</w:t>
      </w:r>
    </w:p>
    <w:p>
      <w:pPr>
        <w:pStyle w:val="ListBullet"/>
        <w:spacing w:after="40"/>
      </w:pPr>
      <w:r>
        <w:rPr>
          <w:sz w:val="20"/>
        </w:rPr>
        <w:t>1. Close the two control-design exceptions (privileged-access; dual-role) within 30 days.</w:t>
      </w:r>
    </w:p>
    <w:p>
      <w:pPr>
        <w:pStyle w:val="ListBullet"/>
        <w:spacing w:after="40"/>
      </w:pPr>
      <w:r>
        <w:rPr>
          <w:sz w:val="20"/>
        </w:rPr>
        <w:t>2. Accelerate the master-data remediation programme; weekly progress report to Group CFO.</w:t>
      </w:r>
    </w:p>
    <w:p>
      <w:pPr>
        <w:pStyle w:val="ListBullet"/>
        <w:spacing w:after="40"/>
      </w:pPr>
      <w:r>
        <w:rPr>
          <w:sz w:val="20"/>
        </w:rPr>
        <w:t>3. Targeted automation investment in 3 high-volume, low-complexity workflows.</w:t>
      </w:r>
    </w:p>
    <w:p>
      <w:pPr>
        <w:pStyle w:val="ListBullet"/>
        <w:spacing w:after="40"/>
      </w:pPr>
      <w:r>
        <w:rPr>
          <w:sz w:val="20"/>
        </w:rPr>
        <w:t>4. Refresh the operating-model design for the bottom-three divisions; sponsor: Group COO.</w:t>
      </w:r>
    </w:p>
    <w:p>
      <w:pPr>
        <w:pStyle w:val="ListBullet"/>
        <w:spacing w:after="40"/>
      </w:pPr>
      <w:r>
        <w:rPr>
          <w:sz w:val="20"/>
        </w:rPr>
        <w:t>5. Quarterly KPI review forum chaired by Group CFO to maintain momentum.</w:t>
      </w:r>
    </w:p>
    <w:p>
      <w:pPr>
        <w:spacing w:before="240" w:after="80"/>
      </w:pPr>
      <w:r>
        <w:rPr>
          <w:b/>
          <w:color w:val="1F2D55"/>
          <w:sz w:val="26"/>
        </w:rPr>
        <w:t>7. Risks to remediation</w:t>
      </w:r>
    </w:p>
    <w:p>
      <w:pPr>
        <w:pStyle w:val="ListBullet"/>
        <w:spacing w:after="40"/>
      </w:pPr>
      <w:r>
        <w:rPr>
          <w:sz w:val="20"/>
        </w:rPr>
        <w:t>Change-management bandwidth at divisional level.</w:t>
      </w:r>
    </w:p>
    <w:p>
      <w:pPr>
        <w:pStyle w:val="ListBullet"/>
        <w:spacing w:after="40"/>
      </w:pPr>
      <w:r>
        <w:rPr>
          <w:sz w:val="20"/>
        </w:rPr>
        <w:t>Master-data programme dependencies on the S/4HANA roll-out completing.</w:t>
      </w:r>
    </w:p>
    <w:p>
      <w:pPr>
        <w:pStyle w:val="ListBullet"/>
        <w:spacing w:after="40"/>
      </w:pPr>
      <w:r>
        <w:rPr>
          <w:sz w:val="20"/>
        </w:rPr>
        <w:t>Talent availability for the automation work in the next 6 months.</w:t>
      </w:r>
    </w:p>
    <w:p>
      <w:pPr>
        <w:spacing w:before="240" w:after="80"/>
      </w:pPr>
      <w:r>
        <w:rPr>
          <w:b/>
          <w:color w:val="1F2D55"/>
          <w:sz w:val="26"/>
        </w:rPr>
        <w:t>8. Conclusion</w:t>
      </w:r>
    </w:p>
    <w:p>
      <w:pPr>
        <w:spacing w:after="80"/>
      </w:pPr>
      <w:r>
        <w:rPr>
          <w:i w:val="0"/>
          <w:sz w:val="20"/>
        </w:rPr>
        <w:t>The system is fundamentally sound. The opportunity is in raising the bottom three divisions to Group average and the Group average to top-quartile peer. The recommendations are sized, sponsored and resourced to make that happen by FY2027.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