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STR 06 Investment Committee Charter</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GP-STR-2026-168</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STR_06_Investment_Committee_Charter.docx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STR 06 Investment Committee Charter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