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Strategic Reset Briefing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Strategic_Reset_Briefing.docx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(Strategic Reset Briefing).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45.3</w:t>
            </w:r>
          </w:p>
        </w:tc>
        <w:tc>
          <w:tcPr>
            <w:tcW w:type="dxa" w:w="1728"/>
          </w:tcPr>
          <w:p>
            <w:r>
              <w:rPr>
                <w:sz w:val="18"/>
              </w:rPr>
              <w:t>48.2</w:t>
            </w:r>
          </w:p>
        </w:tc>
        <w:tc>
          <w:tcPr>
            <w:tcW w:type="dxa" w:w="1728"/>
          </w:tcPr>
          <w:p>
            <w:r>
              <w:rPr>
                <w:sz w:val="18"/>
              </w:rPr>
              <w:t>11.8</w:t>
            </w:r>
          </w:p>
        </w:tc>
        <w:tc>
          <w:tcPr>
            <w:tcW w:type="dxa" w:w="1728"/>
          </w:tcPr>
          <w:p>
            <w:r>
              <w:rPr>
                <w:sz w:val="18"/>
              </w:rPr>
              <w:t>On track</w:t>
            </w:r>
          </w:p>
        </w:tc>
      </w:tr>
      <w:tr>
        <w:tc>
          <w:tcPr>
            <w:tcW w:type="dxa" w:w="1728"/>
          </w:tcPr>
          <w:p>
            <w:r>
              <w:rPr>
                <w:sz w:val="18"/>
              </w:rPr>
              <w:t>Group EBITDA (MYR B)</w:t>
            </w:r>
          </w:p>
        </w:tc>
        <w:tc>
          <w:tcPr>
            <w:tcW w:type="dxa" w:w="1728"/>
          </w:tcPr>
          <w:p>
            <w:r>
              <w:rPr>
                <w:sz w:val="18"/>
              </w:rPr>
              <w:t>7.8</w:t>
            </w:r>
          </w:p>
        </w:tc>
        <w:tc>
          <w:tcPr>
            <w:tcW w:type="dxa" w:w="1728"/>
          </w:tcPr>
          <w:p>
            <w:r>
              <w:rPr>
                <w:sz w:val="18"/>
              </w:rPr>
              <w:t>9.3</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19.5</w:t>
            </w:r>
          </w:p>
        </w:tc>
        <w:tc>
          <w:tcPr>
            <w:tcW w:type="dxa" w:w="1728"/>
          </w:tcPr>
          <w:p>
            <w:r>
              <w:rPr>
                <w:sz w:val="18"/>
              </w:rPr>
              <w:t>20.6</w:t>
            </w:r>
          </w:p>
        </w:tc>
        <w:tc>
          <w:tcPr>
            <w:tcW w:type="dxa" w:w="1728"/>
          </w:tcPr>
          <w:p>
            <w:r>
              <w:rPr>
                <w:sz w:val="18"/>
              </w:rPr>
              <w:t>22.2</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6.6</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