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TC 02 Spectrum Compliance Report</w:t>
      </w:r>
    </w:p>
    <w:p>
      <w:pPr>
        <w:spacing w:after="200"/>
      </w:pPr>
      <w:r>
        <w:rPr>
          <w:i/>
          <w:color w:val="4B5B7C"/>
          <w:sz w:val="22"/>
        </w:rPr>
        <w:t>Report · Internal Distribution</w:t>
      </w:r>
    </w:p>
    <w:p>
      <w:pPr>
        <w:spacing w:after="40"/>
      </w:pPr>
      <w:r>
        <w:rPr>
          <w:b/>
          <w:color w:val="1F2D55"/>
          <w:sz w:val="20"/>
        </w:rPr>
        <w:t xml:space="preserve">Report reference:  </w:t>
      </w:r>
      <w:r>
        <w:rPr>
          <w:sz w:val="20"/>
        </w:rPr>
        <w:t>REP-2026-637</w:t>
      </w:r>
    </w:p>
    <w:p>
      <w:pPr>
        <w:spacing w:after="40"/>
      </w:pPr>
      <w:r>
        <w:rPr>
          <w:b/>
          <w:color w:val="1F2D55"/>
          <w:sz w:val="20"/>
        </w:rPr>
        <w:t xml:space="preserve">Prepared for:  </w:t>
      </w:r>
      <w:r>
        <w:rPr>
          <w:sz w:val="20"/>
        </w:rPr>
        <w:t>Group Executive Committee</w:t>
      </w:r>
    </w:p>
    <w:p>
      <w:pPr>
        <w:spacing w:after="40"/>
      </w:pPr>
      <w:r>
        <w:rPr>
          <w:b/>
          <w:color w:val="1F2D55"/>
          <w:sz w:val="20"/>
        </w:rPr>
        <w:t xml:space="preserve">Prepared by:  </w:t>
      </w:r>
      <w:r>
        <w:rPr>
          <w:sz w:val="20"/>
        </w:rPr>
        <w:t>Group Strategy &amp; Insights team</w:t>
      </w:r>
    </w:p>
    <w:p>
      <w:pPr>
        <w:spacing w:after="40"/>
      </w:pPr>
      <w:r>
        <w:rPr>
          <w:b/>
          <w:color w:val="1F2D55"/>
          <w:sz w:val="20"/>
        </w:rPr>
        <w:t xml:space="preserve">Issue date:  </w:t>
      </w:r>
      <w:r>
        <w:rPr>
          <w:sz w:val="20"/>
        </w:rPr>
        <w:t>01 May 2026</w:t>
      </w:r>
    </w:p>
    <w:p>
      <w:pPr>
        <w:spacing w:after="40"/>
      </w:pPr>
      <w:r>
        <w:rPr>
          <w:b/>
          <w:color w:val="1F2D55"/>
          <w:sz w:val="20"/>
        </w:rPr>
        <w:t xml:space="preserve">Period covered:  </w:t>
      </w:r>
      <w:r>
        <w:rPr>
          <w:sz w:val="20"/>
        </w:rPr>
        <w:t>1 January 2026 – 30 April 2026</w:t>
      </w:r>
    </w:p>
    <w:p>
      <w:pPr>
        <w:spacing w:after="40"/>
      </w:pPr>
      <w:r>
        <w:rPr>
          <w:b/>
          <w:color w:val="1F2D55"/>
          <w:sz w:val="20"/>
        </w:rPr>
        <w:t xml:space="preserve">Classification:  </w:t>
      </w:r>
      <w:r>
        <w:rPr>
          <w:sz w:val="20"/>
        </w:rPr>
        <w:t>Confidential</w:t>
      </w:r>
    </w:p>
    <w:p>
      <w:pPr>
        <w:spacing w:after="40"/>
      </w:pPr>
      <w:r>
        <w:rPr>
          <w:b/>
          <w:color w:val="1F2D55"/>
          <w:sz w:val="20"/>
        </w:rPr>
        <w:t xml:space="preserve">Source file:  </w:t>
      </w:r>
      <w:r>
        <w:rPr>
          <w:sz w:val="20"/>
        </w:rPr>
        <w:t>TC_02_Spectrum_Compliance_Report.docx</w:t>
      </w:r>
    </w:p>
    <w:p>
      <w:pPr>
        <w:spacing w:before="240" w:after="80"/>
      </w:pPr>
      <w:r>
        <w:rPr>
          <w:b/>
          <w:color w:val="1F2D55"/>
          <w:sz w:val="26"/>
        </w:rPr>
        <w:t>Executive summary</w:t>
      </w:r>
    </w:p>
    <w:p>
      <w:pPr>
        <w:spacing w:after="80"/>
      </w:pPr>
      <w:r>
        <w:rPr>
          <w:i w:val="0"/>
          <w:sz w:val="20"/>
        </w:rPr>
        <w:t>This report (TC 02 Spectrum Compliance Report) consolidates the findings of the cross-functional review conducted over the past quarter. It draws on transactional data, management interviews, competitor benchmarks and a peer-group analysis. The key finding is that the underlying business is performing strongly in two of the three priority dimensions assessed; the third area requires focused intervention. Eight specific recommendations are made; all are actionable within the current planning cycle.</w:t>
      </w:r>
    </w:p>
    <w:p>
      <w:pPr>
        <w:spacing w:after="80"/>
      </w:pPr>
      <w:r>
        <w:rPr>
          <w:i w:val="0"/>
          <w:sz w:val="20"/>
        </w:rPr>
        <w:t>Three takeaways for the leadership team: (1) the strategic direction set in FY2024 remains valid and is broadly delivering; (2) execution discipline at the divisional level is the principal constraint, not strategy or capital; (3) two divisions warrant active portfolio decisions in the next 6-12 months.</w:t>
      </w:r>
    </w:p>
    <w:p>
      <w:pPr>
        <w:spacing w:before="240" w:after="80"/>
      </w:pPr>
      <w:r>
        <w:rPr>
          <w:b/>
          <w:color w:val="1F2D55"/>
          <w:sz w:val="26"/>
        </w:rPr>
        <w:t>1. Background and methodology</w:t>
      </w:r>
    </w:p>
    <w:p>
      <w:pPr>
        <w:spacing w:after="80"/>
      </w:pPr>
      <w:r>
        <w:rPr>
          <w:i w:val="0"/>
          <w:sz w:val="20"/>
        </w:rPr>
        <w:t>The review was commissioned by the GroupExCo at the February 2026 meeting. Scope covered the 11 operating divisions and the 9 Group functions, with data drawn from the period 1 Jan – 30 Apr 2026. Methods deployed: 47 management interviews; financial-data extraction from SAP S/4HANA; competitor benchmarks sourced from S&amp;P Capital IQ; peer-group analysis using 12 ASEAN conglomerates and 6 global multi-industry comparators.</w:t>
      </w:r>
    </w:p>
    <w:p>
      <w:pPr>
        <w:spacing w:before="240" w:after="80"/>
      </w:pPr>
      <w:r>
        <w:rPr>
          <w:b/>
          <w:color w:val="1F2D55"/>
          <w:sz w:val="26"/>
        </w:rPr>
        <w:t>2. Key findings</w:t>
      </w:r>
    </w:p>
    <w:p>
      <w:pPr>
        <w:spacing w:after="80"/>
      </w:pPr>
      <w:r>
        <w:rPr>
          <w:i w:val="0"/>
          <w:sz w:val="20"/>
        </w:rPr>
        <w:t>Finding 1 — Strategic focus is sharper than 24 months ago. The portfolio has been simplified: two non-core units divested, three new growth platforms set up, and capital allocation rules clarified. The proportion of capital deployed in growth divisions has risen from 41% to 56% over the period. (Source: Treasury capital-allocation log.)</w:t>
      </w:r>
    </w:p>
    <w:p>
      <w:pPr>
        <w:spacing w:after="80"/>
      </w:pPr>
      <w:r>
        <w:rPr>
          <w:i w:val="0"/>
          <w:sz w:val="20"/>
        </w:rPr>
        <w:t>Finding 2 — Operational performance varies widely. Top-quartile divisions are competitive with global best-in-class on key KPIs (margin, asset turnover, working-capital cycle). Bottom-quartile divisions trail benchmark by 200-400 bps on operating margin and 14-26 days on cash conversion. The gap is largely explained by execution maturity, not market structure.</w:t>
      </w:r>
    </w:p>
    <w:p>
      <w:pPr>
        <w:spacing w:after="80"/>
      </w:pPr>
      <w:r>
        <w:rPr>
          <w:i w:val="0"/>
          <w:sz w:val="20"/>
        </w:rPr>
        <w:t>Finding 3 — Digital and data foundations are emerging. The migration to S/4HANA is 78% complete; two divisions remain on legacy ERP. Data-quality indices have improved 22% YoY but remain below the 90% threshold required for confident automation. Self-service analytics adoption: 31% of management users (target 70% by end-FY).</w:t>
      </w:r>
    </w:p>
    <w:p>
      <w:pPr>
        <w:spacing w:before="240" w:after="80"/>
      </w:pPr>
      <w:r>
        <w:rPr>
          <w:b/>
          <w:color w:val="1F2D55"/>
          <w:sz w:val="26"/>
        </w:rPr>
        <w:t>3. Quantified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Indicator</w:t>
            </w:r>
          </w:p>
        </w:tc>
        <w:tc>
          <w:tcPr>
            <w:tcW w:type="dxa" w:w="1728"/>
            <w:shd w:val="clear" w:color="auto" w:fill="1F2D55"/>
          </w:tcPr>
          <w:p>
            <w:r>
              <w:rPr>
                <w:b/>
                <w:color w:val="FFFFFF"/>
                <w:sz w:val="18"/>
              </w:rPr>
              <w:t>Bottom-quartile</w:t>
            </w:r>
          </w:p>
        </w:tc>
        <w:tc>
          <w:tcPr>
            <w:tcW w:type="dxa" w:w="1728"/>
            <w:shd w:val="clear" w:color="auto" w:fill="1F2D55"/>
          </w:tcPr>
          <w:p>
            <w:r>
              <w:rPr>
                <w:b/>
                <w:color w:val="FFFFFF"/>
                <w:sz w:val="18"/>
              </w:rPr>
              <w:t>Group avg</w:t>
            </w:r>
          </w:p>
        </w:tc>
        <w:tc>
          <w:tcPr>
            <w:tcW w:type="dxa" w:w="1728"/>
            <w:shd w:val="clear" w:color="auto" w:fill="1F2D55"/>
          </w:tcPr>
          <w:p>
            <w:r>
              <w:rPr>
                <w:b/>
                <w:color w:val="FFFFFF"/>
                <w:sz w:val="18"/>
              </w:rPr>
              <w:t>Top-quartile</w:t>
            </w:r>
          </w:p>
        </w:tc>
        <w:tc>
          <w:tcPr>
            <w:tcW w:type="dxa" w:w="1728"/>
            <w:shd w:val="clear" w:color="auto" w:fill="1F2D55"/>
          </w:tcPr>
          <w:p>
            <w:r>
              <w:rPr>
                <w:b/>
                <w:color w:val="FFFFFF"/>
                <w:sz w:val="18"/>
              </w:rPr>
              <w:t>Best-in-class peer</w:t>
            </w:r>
          </w:p>
        </w:tc>
      </w:tr>
      <w:tr>
        <w:tc>
          <w:tcPr>
            <w:tcW w:type="dxa" w:w="1728"/>
          </w:tcPr>
          <w:p>
            <w:r>
              <w:rPr>
                <w:sz w:val="18"/>
              </w:rPr>
              <w:t>EBITDA margin %</w:t>
            </w:r>
          </w:p>
        </w:tc>
        <w:tc>
          <w:tcPr>
            <w:tcW w:type="dxa" w:w="1728"/>
          </w:tcPr>
          <w:p>
            <w:r>
              <w:rPr>
                <w:sz w:val="18"/>
              </w:rPr>
              <w:t>8.3</w:t>
            </w:r>
          </w:p>
        </w:tc>
        <w:tc>
          <w:tcPr>
            <w:tcW w:type="dxa" w:w="1728"/>
          </w:tcPr>
          <w:p>
            <w:r>
              <w:rPr>
                <w:sz w:val="18"/>
              </w:rPr>
              <w:t>15.3</w:t>
            </w:r>
          </w:p>
        </w:tc>
        <w:tc>
          <w:tcPr>
            <w:tcW w:type="dxa" w:w="1728"/>
          </w:tcPr>
          <w:p>
            <w:r>
              <w:rPr>
                <w:sz w:val="18"/>
              </w:rPr>
              <w:t>25.9</w:t>
            </w:r>
          </w:p>
        </w:tc>
        <w:tc>
          <w:tcPr>
            <w:tcW w:type="dxa" w:w="1728"/>
          </w:tcPr>
          <w:p>
            <w:r>
              <w:rPr>
                <w:sz w:val="18"/>
              </w:rPr>
              <w:t>27.4</w:t>
            </w:r>
          </w:p>
        </w:tc>
      </w:tr>
      <w:tr>
        <w:tc>
          <w:tcPr>
            <w:tcW w:type="dxa" w:w="1728"/>
          </w:tcPr>
          <w:p>
            <w:r>
              <w:rPr>
                <w:sz w:val="18"/>
              </w:rPr>
              <w:t>Cash conversion %</w:t>
            </w:r>
          </w:p>
        </w:tc>
        <w:tc>
          <w:tcPr>
            <w:tcW w:type="dxa" w:w="1728"/>
          </w:tcPr>
          <w:p>
            <w:r>
              <w:rPr>
                <w:sz w:val="18"/>
              </w:rPr>
              <w:t>62</w:t>
            </w:r>
          </w:p>
        </w:tc>
        <w:tc>
          <w:tcPr>
            <w:tcW w:type="dxa" w:w="1728"/>
          </w:tcPr>
          <w:p>
            <w:r>
              <w:rPr>
                <w:sz w:val="18"/>
              </w:rPr>
              <w:t>84</w:t>
            </w:r>
          </w:p>
        </w:tc>
        <w:tc>
          <w:tcPr>
            <w:tcW w:type="dxa" w:w="1728"/>
          </w:tcPr>
          <w:p>
            <w:r>
              <w:rPr>
                <w:sz w:val="18"/>
              </w:rPr>
              <w:t>104</w:t>
            </w:r>
          </w:p>
        </w:tc>
        <w:tc>
          <w:tcPr>
            <w:tcW w:type="dxa" w:w="1728"/>
          </w:tcPr>
          <w:p>
            <w:r>
              <w:rPr>
                <w:sz w:val="18"/>
              </w:rPr>
              <w:t>112</w:t>
            </w:r>
          </w:p>
        </w:tc>
      </w:tr>
      <w:tr>
        <w:tc>
          <w:tcPr>
            <w:tcW w:type="dxa" w:w="1728"/>
          </w:tcPr>
          <w:p>
            <w:r>
              <w:rPr>
                <w:sz w:val="18"/>
              </w:rPr>
              <w:t>Working-capital days</w:t>
            </w:r>
          </w:p>
        </w:tc>
        <w:tc>
          <w:tcPr>
            <w:tcW w:type="dxa" w:w="1728"/>
          </w:tcPr>
          <w:p>
            <w:r>
              <w:rPr>
                <w:sz w:val="18"/>
              </w:rPr>
              <w:t>78</w:t>
            </w:r>
          </w:p>
        </w:tc>
        <w:tc>
          <w:tcPr>
            <w:tcW w:type="dxa" w:w="1728"/>
          </w:tcPr>
          <w:p>
            <w:r>
              <w:rPr>
                <w:sz w:val="18"/>
              </w:rPr>
              <w:t>54</w:t>
            </w:r>
          </w:p>
        </w:tc>
        <w:tc>
          <w:tcPr>
            <w:tcW w:type="dxa" w:w="1728"/>
          </w:tcPr>
          <w:p>
            <w:r>
              <w:rPr>
                <w:sz w:val="18"/>
              </w:rPr>
              <w:t>38</w:t>
            </w:r>
          </w:p>
        </w:tc>
        <w:tc>
          <w:tcPr>
            <w:tcW w:type="dxa" w:w="1728"/>
          </w:tcPr>
          <w:p>
            <w:r>
              <w:rPr>
                <w:sz w:val="18"/>
              </w:rPr>
              <w:t>32</w:t>
            </w:r>
          </w:p>
        </w:tc>
      </w:tr>
      <w:tr>
        <w:tc>
          <w:tcPr>
            <w:tcW w:type="dxa" w:w="1728"/>
          </w:tcPr>
          <w:p>
            <w:r>
              <w:rPr>
                <w:sz w:val="18"/>
              </w:rPr>
              <w:t>Customer NPS</w:t>
            </w:r>
          </w:p>
        </w:tc>
        <w:tc>
          <w:tcPr>
            <w:tcW w:type="dxa" w:w="1728"/>
          </w:tcPr>
          <w:p>
            <w:r>
              <w:rPr>
                <w:sz w:val="18"/>
              </w:rPr>
              <w:t>12</w:t>
            </w:r>
          </w:p>
        </w:tc>
        <w:tc>
          <w:tcPr>
            <w:tcW w:type="dxa" w:w="1728"/>
          </w:tcPr>
          <w:p>
            <w:r>
              <w:rPr>
                <w:sz w:val="18"/>
              </w:rPr>
              <w:t>34</w:t>
            </w:r>
          </w:p>
        </w:tc>
        <w:tc>
          <w:tcPr>
            <w:tcW w:type="dxa" w:w="1728"/>
          </w:tcPr>
          <w:p>
            <w:r>
              <w:rPr>
                <w:sz w:val="18"/>
              </w:rPr>
              <w:t>58</w:t>
            </w:r>
          </w:p>
        </w:tc>
        <w:tc>
          <w:tcPr>
            <w:tcW w:type="dxa" w:w="1728"/>
          </w:tcPr>
          <w:p>
            <w:r>
              <w:rPr>
                <w:sz w:val="18"/>
              </w:rPr>
              <w:t>64</w:t>
            </w:r>
          </w:p>
        </w:tc>
      </w:tr>
      <w:tr>
        <w:tc>
          <w:tcPr>
            <w:tcW w:type="dxa" w:w="1728"/>
          </w:tcPr>
          <w:p>
            <w:r>
              <w:rPr>
                <w:sz w:val="18"/>
              </w:rPr>
              <w:t>Employee engagement</w:t>
            </w:r>
          </w:p>
        </w:tc>
        <w:tc>
          <w:tcPr>
            <w:tcW w:type="dxa" w:w="1728"/>
          </w:tcPr>
          <w:p>
            <w:r>
              <w:rPr>
                <w:sz w:val="18"/>
              </w:rPr>
              <w:t>57%</w:t>
            </w:r>
          </w:p>
        </w:tc>
        <w:tc>
          <w:tcPr>
            <w:tcW w:type="dxa" w:w="1728"/>
          </w:tcPr>
          <w:p>
            <w:r>
              <w:rPr>
                <w:sz w:val="18"/>
              </w:rPr>
              <w:t>71%</w:t>
            </w:r>
          </w:p>
        </w:tc>
        <w:tc>
          <w:tcPr>
            <w:tcW w:type="dxa" w:w="1728"/>
          </w:tcPr>
          <w:p>
            <w:r>
              <w:rPr>
                <w:sz w:val="18"/>
              </w:rPr>
              <w:t>82%</w:t>
            </w:r>
          </w:p>
        </w:tc>
        <w:tc>
          <w:tcPr>
            <w:tcW w:type="dxa" w:w="1728"/>
          </w:tcPr>
          <w:p>
            <w:r>
              <w:rPr>
                <w:sz w:val="18"/>
              </w:rPr>
              <w:t>84%</w:t>
            </w:r>
          </w:p>
        </w:tc>
      </w:tr>
      <w:tr>
        <w:tc>
          <w:tcPr>
            <w:tcW w:type="dxa" w:w="1728"/>
          </w:tcPr>
          <w:p>
            <w:r>
              <w:rPr>
                <w:sz w:val="18"/>
              </w:rPr>
              <w:t>Process automation %</w:t>
            </w:r>
          </w:p>
        </w:tc>
        <w:tc>
          <w:tcPr>
            <w:tcW w:type="dxa" w:w="1728"/>
          </w:tcPr>
          <w:p>
            <w:r>
              <w:rPr>
                <w:sz w:val="18"/>
              </w:rPr>
              <w:t>21</w:t>
            </w:r>
          </w:p>
        </w:tc>
        <w:tc>
          <w:tcPr>
            <w:tcW w:type="dxa" w:w="1728"/>
          </w:tcPr>
          <w:p>
            <w:r>
              <w:rPr>
                <w:sz w:val="18"/>
              </w:rPr>
              <w:t>44</w:t>
            </w:r>
          </w:p>
        </w:tc>
        <w:tc>
          <w:tcPr>
            <w:tcW w:type="dxa" w:w="1728"/>
          </w:tcPr>
          <w:p>
            <w:r>
              <w:rPr>
                <w:sz w:val="18"/>
              </w:rPr>
              <w:t>68</w:t>
            </w:r>
          </w:p>
        </w:tc>
        <w:tc>
          <w:tcPr>
            <w:tcW w:type="dxa" w:w="1728"/>
          </w:tcPr>
          <w:p>
            <w:r>
              <w:rPr>
                <w:sz w:val="18"/>
              </w:rPr>
              <w:t>74</w:t>
            </w:r>
          </w:p>
        </w:tc>
      </w:tr>
      <w:tr>
        <w:tc>
          <w:tcPr>
            <w:tcW w:type="dxa" w:w="1728"/>
          </w:tcPr>
          <w:p>
            <w:r>
              <w:rPr>
                <w:sz w:val="18"/>
              </w:rPr>
              <w:t>Decision-cycle days</w:t>
            </w:r>
          </w:p>
        </w:tc>
        <w:tc>
          <w:tcPr>
            <w:tcW w:type="dxa" w:w="1728"/>
          </w:tcPr>
          <w:p>
            <w:r>
              <w:rPr>
                <w:sz w:val="18"/>
              </w:rPr>
              <w:t>21</w:t>
            </w:r>
          </w:p>
        </w:tc>
        <w:tc>
          <w:tcPr>
            <w:tcW w:type="dxa" w:w="1728"/>
          </w:tcPr>
          <w:p>
            <w:r>
              <w:rPr>
                <w:sz w:val="18"/>
              </w:rPr>
              <w:t>11</w:t>
            </w:r>
          </w:p>
        </w:tc>
        <w:tc>
          <w:tcPr>
            <w:tcW w:type="dxa" w:w="1728"/>
          </w:tcPr>
          <w:p>
            <w:r>
              <w:rPr>
                <w:sz w:val="18"/>
              </w:rPr>
              <w:t>5</w:t>
            </w:r>
          </w:p>
        </w:tc>
        <w:tc>
          <w:tcPr>
            <w:tcW w:type="dxa" w:w="1728"/>
          </w:tcPr>
          <w:p>
            <w:r>
              <w:rPr>
                <w:sz w:val="18"/>
              </w:rPr>
              <w:t>4</w:t>
            </w:r>
          </w:p>
        </w:tc>
      </w:tr>
      <w:tr>
        <w:tc>
          <w:tcPr>
            <w:tcW w:type="dxa" w:w="1728"/>
          </w:tcPr>
          <w:p>
            <w:r>
              <w:rPr>
                <w:sz w:val="18"/>
              </w:rPr>
              <w:t>IT incident MTTR (hrs)</w:t>
            </w:r>
          </w:p>
        </w:tc>
        <w:tc>
          <w:tcPr>
            <w:tcW w:type="dxa" w:w="1728"/>
          </w:tcPr>
          <w:p>
            <w:r>
              <w:rPr>
                <w:sz w:val="18"/>
              </w:rPr>
              <w:t>9.4</w:t>
            </w:r>
          </w:p>
        </w:tc>
        <w:tc>
          <w:tcPr>
            <w:tcW w:type="dxa" w:w="1728"/>
          </w:tcPr>
          <w:p>
            <w:r>
              <w:rPr>
                <w:sz w:val="18"/>
              </w:rPr>
              <w:t>3.2</w:t>
            </w:r>
          </w:p>
        </w:tc>
        <w:tc>
          <w:tcPr>
            <w:tcW w:type="dxa" w:w="1728"/>
          </w:tcPr>
          <w:p>
            <w:r>
              <w:rPr>
                <w:sz w:val="18"/>
              </w:rPr>
              <w:t>1.1</w:t>
            </w:r>
          </w:p>
        </w:tc>
        <w:tc>
          <w:tcPr>
            <w:tcW w:type="dxa" w:w="1728"/>
          </w:tcPr>
          <w:p>
            <w:r>
              <w:rPr>
                <w:sz w:val="18"/>
              </w:rPr>
              <w:t>0.8</w:t>
            </w:r>
          </w:p>
        </w:tc>
      </w:tr>
    </w:tbl>
    <w:p>
      <w:pPr>
        <w:spacing w:before="240" w:after="80"/>
      </w:pPr>
      <w:r>
        <w:rPr>
          <w:b/>
          <w:color w:val="1F2D55"/>
          <w:sz w:val="26"/>
        </w:rPr>
        <w:t>4. Deep-dive observations</w:t>
      </w:r>
    </w:p>
    <w:p>
      <w:pPr>
        <w:spacing w:before="160" w:after="40"/>
      </w:pPr>
      <w:r>
        <w:rPr>
          <w:b/>
          <w:color w:val="4B5B7C"/>
          <w:sz w:val="22"/>
        </w:rPr>
        <w:t>4.1 Portfolio composition</w:t>
      </w:r>
    </w:p>
    <w:p>
      <w:pPr>
        <w:spacing w:after="80"/>
      </w:pPr>
      <w:r>
        <w:rPr>
          <w:i w:val="0"/>
          <w:sz w:val="20"/>
        </w:rPr>
        <w:t>The portfolio has the right shape but the wrong weights. Banking and Property together account for 58% of capital but only 41% of normalised profit. Industrial Manufacturing and Healthcare Services together account for 26% of capital but 38% of normalised profit. Recommend portfolio re-balancing over a 24-month horizon: targeted capital release from non-core property assets, redeployed into growth platforms in Healthcare Services and Industrial Manufacturing.</w:t>
      </w:r>
    </w:p>
    <w:p>
      <w:pPr>
        <w:spacing w:before="160" w:after="40"/>
      </w:pPr>
      <w:r>
        <w:rPr>
          <w:b/>
          <w:color w:val="4B5B7C"/>
          <w:sz w:val="22"/>
        </w:rPr>
        <w:t>4.2 Operating model</w:t>
      </w:r>
    </w:p>
    <w:p>
      <w:pPr>
        <w:spacing w:after="80"/>
      </w:pPr>
      <w:r>
        <w:rPr>
          <w:i w:val="0"/>
          <w:sz w:val="20"/>
        </w:rPr>
        <w:t>Shared-service penetration is 53%; below the 70% benchmark. Three Group functions operate largely separately at the divisional level: Procurement, IT, and HR Operations. Consolidation could release MYR 180-240m annual run-rate by FY2028 but requires careful change management.</w:t>
      </w:r>
    </w:p>
    <w:p>
      <w:pPr>
        <w:spacing w:before="160" w:after="40"/>
      </w:pPr>
      <w:r>
        <w:rPr>
          <w:b/>
          <w:color w:val="4B5B7C"/>
          <w:sz w:val="22"/>
        </w:rPr>
        <w:t>4.3 Talent and capability</w:t>
      </w:r>
    </w:p>
    <w:p>
      <w:pPr>
        <w:spacing w:after="80"/>
      </w:pPr>
      <w:r>
        <w:rPr>
          <w:i w:val="0"/>
          <w:sz w:val="20"/>
        </w:rPr>
        <w:t>Senior-leadership bench strength has improved but key gaps remain in two divisions (Banking digital; Insurance bancassurance). Talent attrition at top-talent grades is 11%, marginally above benchmark; key driver: external competition for digital talent at MYR 18-32k/month band.</w:t>
      </w:r>
    </w:p>
    <w:p>
      <w:pPr>
        <w:spacing w:before="240" w:after="80"/>
      </w:pPr>
      <w:r>
        <w:rPr>
          <w:b/>
          <w:color w:val="1F2D55"/>
          <w:sz w:val="26"/>
        </w:rPr>
        <w:t>5. Recommendations</w:t>
      </w:r>
    </w:p>
    <w:p>
      <w:pPr>
        <w:pStyle w:val="ListBullet"/>
        <w:spacing w:after="40"/>
      </w:pPr>
      <w:r>
        <w:rPr>
          <w:sz w:val="20"/>
        </w:rPr>
        <w:t>1. Recalibrate the portfolio over 24 months — release capital from non-core property; redeploy to growth platforms in Industrial Manufacturing and Healthcare Services.</w:t>
      </w:r>
    </w:p>
    <w:p>
      <w:pPr>
        <w:pStyle w:val="ListBullet"/>
        <w:spacing w:after="40"/>
      </w:pPr>
      <w:r>
        <w:rPr>
          <w:sz w:val="20"/>
        </w:rPr>
        <w:t>2. Stand up a Group-led performance-improvement programme for the bottom-quartile divisions; sponsor: Group CFO; sponsor budget MYR 18m.</w:t>
      </w:r>
    </w:p>
    <w:p>
      <w:pPr>
        <w:pStyle w:val="ListBullet"/>
        <w:spacing w:after="40"/>
      </w:pPr>
      <w:r>
        <w:rPr>
          <w:sz w:val="20"/>
        </w:rPr>
        <w:t>3. Accelerate the S/4HANA migration; remaining 2 divisions by end-FY2027; cap legacy-ERP capex from Q3 FY2026.</w:t>
      </w:r>
    </w:p>
    <w:p>
      <w:pPr>
        <w:pStyle w:val="ListBullet"/>
        <w:spacing w:after="40"/>
      </w:pPr>
      <w:r>
        <w:rPr>
          <w:sz w:val="20"/>
        </w:rPr>
        <w:t>4. Strengthen the analytics centre of excellence; target 70% management-user adoption by end-FY2027.</w:t>
      </w:r>
    </w:p>
    <w:p>
      <w:pPr>
        <w:pStyle w:val="ListBullet"/>
        <w:spacing w:after="40"/>
      </w:pPr>
      <w:r>
        <w:rPr>
          <w:sz w:val="20"/>
        </w:rPr>
        <w:t>5. Consolidate Procurement, IT and HR shared services under a single COO function; full design by end-FY2026; phased migration FY2027.</w:t>
      </w:r>
    </w:p>
    <w:p>
      <w:pPr>
        <w:pStyle w:val="ListBullet"/>
        <w:spacing w:after="40"/>
      </w:pPr>
      <w:r>
        <w:rPr>
          <w:sz w:val="20"/>
        </w:rPr>
        <w:t>6. Top-talent retention package for the 220 highest-impact roles; refresh equity-style long-term incentive.</w:t>
      </w:r>
    </w:p>
    <w:p>
      <w:pPr>
        <w:pStyle w:val="ListBullet"/>
        <w:spacing w:after="40"/>
      </w:pPr>
      <w:r>
        <w:rPr>
          <w:sz w:val="20"/>
        </w:rPr>
        <w:t>7. Strengthen ESG reporting infrastructure; external assurance scope expanded from FY2027.</w:t>
      </w:r>
    </w:p>
    <w:p>
      <w:pPr>
        <w:pStyle w:val="ListBullet"/>
        <w:spacing w:after="40"/>
      </w:pPr>
      <w:r>
        <w:rPr>
          <w:sz w:val="20"/>
        </w:rPr>
        <w:t>8. Establish an integrated planning cadence: GroupExCo quarterly review against this report's KPI dashboard.</w:t>
      </w:r>
    </w:p>
    <w:p>
      <w:pPr>
        <w:spacing w:before="240" w:after="80"/>
      </w:pPr>
      <w:r>
        <w:rPr>
          <w:b/>
          <w:color w:val="1F2D55"/>
          <w:sz w:val="26"/>
        </w:rPr>
        <w:t>6. Implementation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Recommendation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Start</w:t>
            </w:r>
          </w:p>
        </w:tc>
        <w:tc>
          <w:tcPr>
            <w:tcW w:type="dxa" w:w="1728"/>
            <w:shd w:val="clear" w:color="auto" w:fill="1F2D55"/>
          </w:tcPr>
          <w:p>
            <w:r>
              <w:rPr>
                <w:b/>
                <w:color w:val="FFFFFF"/>
                <w:sz w:val="18"/>
              </w:rPr>
              <w:t>Target completion</w:t>
            </w:r>
          </w:p>
        </w:tc>
        <w:tc>
          <w:tcPr>
            <w:tcW w:type="dxa" w:w="1728"/>
            <w:shd w:val="clear" w:color="auto" w:fill="1F2D55"/>
          </w:tcPr>
          <w:p>
            <w:r>
              <w:rPr>
                <w:b/>
                <w:color w:val="FFFFFF"/>
                <w:sz w:val="18"/>
              </w:rPr>
              <w:t>First milestone</w:t>
            </w:r>
          </w:p>
        </w:tc>
      </w:tr>
      <w:tr>
        <w:tc>
          <w:tcPr>
            <w:tcW w:type="dxa" w:w="1728"/>
          </w:tcPr>
          <w:p>
            <w:r>
              <w:rPr>
                <w:sz w:val="18"/>
              </w:rPr>
              <w:t>1. Portfolio recalibration</w:t>
            </w:r>
          </w:p>
        </w:tc>
        <w:tc>
          <w:tcPr>
            <w:tcW w:type="dxa" w:w="1728"/>
          </w:tcPr>
          <w:p>
            <w:r>
              <w:rPr>
                <w:sz w:val="18"/>
              </w:rPr>
              <w:t>Group CSO</w:t>
            </w:r>
          </w:p>
        </w:tc>
        <w:tc>
          <w:tcPr>
            <w:tcW w:type="dxa" w:w="1728"/>
          </w:tcPr>
          <w:p>
            <w:r>
              <w:rPr>
                <w:sz w:val="18"/>
              </w:rPr>
              <w:t>Q2 FY2026</w:t>
            </w:r>
          </w:p>
        </w:tc>
        <w:tc>
          <w:tcPr>
            <w:tcW w:type="dxa" w:w="1728"/>
          </w:tcPr>
          <w:p>
            <w:r>
              <w:rPr>
                <w:sz w:val="18"/>
              </w:rPr>
              <w:t>Q4 FY2027</w:t>
            </w:r>
          </w:p>
        </w:tc>
        <w:tc>
          <w:tcPr>
            <w:tcW w:type="dxa" w:w="1728"/>
          </w:tcPr>
          <w:p>
            <w:r>
              <w:rPr>
                <w:sz w:val="18"/>
              </w:rPr>
              <w:t>Portfolio decision Q3 FY2026</w:t>
            </w:r>
          </w:p>
        </w:tc>
      </w:tr>
      <w:tr>
        <w:tc>
          <w:tcPr>
            <w:tcW w:type="dxa" w:w="1728"/>
          </w:tcPr>
          <w:p>
            <w:r>
              <w:rPr>
                <w:sz w:val="18"/>
              </w:rPr>
              <w:t>2. Performance-improvement programme</w:t>
            </w:r>
          </w:p>
        </w:tc>
        <w:tc>
          <w:tcPr>
            <w:tcW w:type="dxa" w:w="1728"/>
          </w:tcPr>
          <w:p>
            <w:r>
              <w:rPr>
                <w:sz w:val="18"/>
              </w:rPr>
              <w:t>Group CFO</w:t>
            </w:r>
          </w:p>
        </w:tc>
        <w:tc>
          <w:tcPr>
            <w:tcW w:type="dxa" w:w="1728"/>
          </w:tcPr>
          <w:p>
            <w:r>
              <w:rPr>
                <w:sz w:val="18"/>
              </w:rPr>
              <w:t>Q2 FY2026</w:t>
            </w:r>
          </w:p>
        </w:tc>
        <w:tc>
          <w:tcPr>
            <w:tcW w:type="dxa" w:w="1728"/>
          </w:tcPr>
          <w:p>
            <w:r>
              <w:rPr>
                <w:sz w:val="18"/>
              </w:rPr>
              <w:t>Q1 FY2028</w:t>
            </w:r>
          </w:p>
        </w:tc>
        <w:tc>
          <w:tcPr>
            <w:tcW w:type="dxa" w:w="1728"/>
          </w:tcPr>
          <w:p>
            <w:r>
              <w:rPr>
                <w:sz w:val="18"/>
              </w:rPr>
              <w:t>Baseline by Q3</w:t>
            </w:r>
          </w:p>
        </w:tc>
      </w:tr>
      <w:tr>
        <w:tc>
          <w:tcPr>
            <w:tcW w:type="dxa" w:w="1728"/>
          </w:tcPr>
          <w:p>
            <w:r>
              <w:rPr>
                <w:sz w:val="18"/>
              </w:rPr>
              <w:t>3. S/4HANA acceleration</w:t>
            </w:r>
          </w:p>
        </w:tc>
        <w:tc>
          <w:tcPr>
            <w:tcW w:type="dxa" w:w="1728"/>
          </w:tcPr>
          <w:p>
            <w:r>
              <w:rPr>
                <w:sz w:val="18"/>
              </w:rPr>
              <w:t>Group CIO</w:t>
            </w:r>
          </w:p>
        </w:tc>
        <w:tc>
          <w:tcPr>
            <w:tcW w:type="dxa" w:w="1728"/>
          </w:tcPr>
          <w:p>
            <w:r>
              <w:rPr>
                <w:sz w:val="18"/>
              </w:rPr>
              <w:t>Q2 FY2026</w:t>
            </w:r>
          </w:p>
        </w:tc>
        <w:tc>
          <w:tcPr>
            <w:tcW w:type="dxa" w:w="1728"/>
          </w:tcPr>
          <w:p>
            <w:r>
              <w:rPr>
                <w:sz w:val="18"/>
              </w:rPr>
              <w:t>Q4 FY2027</w:t>
            </w:r>
          </w:p>
        </w:tc>
        <w:tc>
          <w:tcPr>
            <w:tcW w:type="dxa" w:w="1728"/>
          </w:tcPr>
          <w:p>
            <w:r>
              <w:rPr>
                <w:sz w:val="18"/>
              </w:rPr>
              <w:t>Wave-3 cut-over Q4 FY2026</w:t>
            </w:r>
          </w:p>
        </w:tc>
      </w:tr>
      <w:tr>
        <w:tc>
          <w:tcPr>
            <w:tcW w:type="dxa" w:w="1728"/>
          </w:tcPr>
          <w:p>
            <w:r>
              <w:rPr>
                <w:sz w:val="18"/>
              </w:rPr>
              <w:t>4. Analytics CoE</w:t>
            </w:r>
          </w:p>
        </w:tc>
        <w:tc>
          <w:tcPr>
            <w:tcW w:type="dxa" w:w="1728"/>
          </w:tcPr>
          <w:p>
            <w:r>
              <w:rPr>
                <w:sz w:val="18"/>
              </w:rPr>
              <w:t>Group Head of Data</w:t>
            </w:r>
          </w:p>
        </w:tc>
        <w:tc>
          <w:tcPr>
            <w:tcW w:type="dxa" w:w="1728"/>
          </w:tcPr>
          <w:p>
            <w:r>
              <w:rPr>
                <w:sz w:val="18"/>
              </w:rPr>
              <w:t>Q3 FY2026</w:t>
            </w:r>
          </w:p>
        </w:tc>
        <w:tc>
          <w:tcPr>
            <w:tcW w:type="dxa" w:w="1728"/>
          </w:tcPr>
          <w:p>
            <w:r>
              <w:rPr>
                <w:sz w:val="18"/>
              </w:rPr>
              <w:t>Q4 FY2027</w:t>
            </w:r>
          </w:p>
        </w:tc>
        <w:tc>
          <w:tcPr>
            <w:tcW w:type="dxa" w:w="1728"/>
          </w:tcPr>
          <w:p>
            <w:r>
              <w:rPr>
                <w:sz w:val="18"/>
              </w:rPr>
              <w:t>Curriculum launched Q3</w:t>
            </w:r>
          </w:p>
        </w:tc>
      </w:tr>
      <w:tr>
        <w:tc>
          <w:tcPr>
            <w:tcW w:type="dxa" w:w="1728"/>
          </w:tcPr>
          <w:p>
            <w:r>
              <w:rPr>
                <w:sz w:val="18"/>
              </w:rPr>
              <w:t>5. Shared services consolidation</w:t>
            </w:r>
          </w:p>
        </w:tc>
        <w:tc>
          <w:tcPr>
            <w:tcW w:type="dxa" w:w="1728"/>
          </w:tcPr>
          <w:p>
            <w:r>
              <w:rPr>
                <w:sz w:val="18"/>
              </w:rPr>
              <w:t>Group COO</w:t>
            </w:r>
          </w:p>
        </w:tc>
        <w:tc>
          <w:tcPr>
            <w:tcW w:type="dxa" w:w="1728"/>
          </w:tcPr>
          <w:p>
            <w:r>
              <w:rPr>
                <w:sz w:val="18"/>
              </w:rPr>
              <w:t>Q4 FY2026</w:t>
            </w:r>
          </w:p>
        </w:tc>
        <w:tc>
          <w:tcPr>
            <w:tcW w:type="dxa" w:w="1728"/>
          </w:tcPr>
          <w:p>
            <w:r>
              <w:rPr>
                <w:sz w:val="18"/>
              </w:rPr>
              <w:t>Q4 FY2027</w:t>
            </w:r>
          </w:p>
        </w:tc>
        <w:tc>
          <w:tcPr>
            <w:tcW w:type="dxa" w:w="1728"/>
          </w:tcPr>
          <w:p>
            <w:r>
              <w:rPr>
                <w:sz w:val="18"/>
              </w:rPr>
              <w:t>Design sign-off Q1 FY2027</w:t>
            </w:r>
          </w:p>
        </w:tc>
      </w:tr>
      <w:tr>
        <w:tc>
          <w:tcPr>
            <w:tcW w:type="dxa" w:w="1728"/>
          </w:tcPr>
          <w:p>
            <w:r>
              <w:rPr>
                <w:sz w:val="18"/>
              </w:rPr>
              <w:t>6. Top-talent retention</w:t>
            </w:r>
          </w:p>
        </w:tc>
        <w:tc>
          <w:tcPr>
            <w:tcW w:type="dxa" w:w="1728"/>
          </w:tcPr>
          <w:p>
            <w:r>
              <w:rPr>
                <w:sz w:val="18"/>
              </w:rPr>
              <w:t>Group CHRO</w:t>
            </w:r>
          </w:p>
        </w:tc>
        <w:tc>
          <w:tcPr>
            <w:tcW w:type="dxa" w:w="1728"/>
          </w:tcPr>
          <w:p>
            <w:r>
              <w:rPr>
                <w:sz w:val="18"/>
              </w:rPr>
              <w:t>Q2 FY2026</w:t>
            </w:r>
          </w:p>
        </w:tc>
        <w:tc>
          <w:tcPr>
            <w:tcW w:type="dxa" w:w="1728"/>
          </w:tcPr>
          <w:p>
            <w:r>
              <w:rPr>
                <w:sz w:val="18"/>
              </w:rPr>
              <w:t>Q1 FY2027</w:t>
            </w:r>
          </w:p>
        </w:tc>
        <w:tc>
          <w:tcPr>
            <w:tcW w:type="dxa" w:w="1728"/>
          </w:tcPr>
          <w:p>
            <w:r>
              <w:rPr>
                <w:sz w:val="18"/>
              </w:rPr>
              <w:t>Plan ratified Q3 FY2026</w:t>
            </w:r>
          </w:p>
        </w:tc>
      </w:tr>
      <w:tr>
        <w:tc>
          <w:tcPr>
            <w:tcW w:type="dxa" w:w="1728"/>
          </w:tcPr>
          <w:p>
            <w:r>
              <w:rPr>
                <w:sz w:val="18"/>
              </w:rPr>
              <w:t>7. ESG reporting</w:t>
            </w:r>
          </w:p>
        </w:tc>
        <w:tc>
          <w:tcPr>
            <w:tcW w:type="dxa" w:w="1728"/>
          </w:tcPr>
          <w:p>
            <w:r>
              <w:rPr>
                <w:sz w:val="18"/>
              </w:rPr>
              <w:t>Head of IR</w:t>
            </w:r>
          </w:p>
        </w:tc>
        <w:tc>
          <w:tcPr>
            <w:tcW w:type="dxa" w:w="1728"/>
          </w:tcPr>
          <w:p>
            <w:r>
              <w:rPr>
                <w:sz w:val="18"/>
              </w:rPr>
              <w:t>Q2 FY2026</w:t>
            </w:r>
          </w:p>
        </w:tc>
        <w:tc>
          <w:tcPr>
            <w:tcW w:type="dxa" w:w="1728"/>
          </w:tcPr>
          <w:p>
            <w:r>
              <w:rPr>
                <w:sz w:val="18"/>
              </w:rPr>
              <w:t>Q3 FY2027</w:t>
            </w:r>
          </w:p>
        </w:tc>
        <w:tc>
          <w:tcPr>
            <w:tcW w:type="dxa" w:w="1728"/>
          </w:tcPr>
          <w:p>
            <w:r>
              <w:rPr>
                <w:sz w:val="18"/>
              </w:rPr>
              <w:t>Assurance scoping Q3</w:t>
            </w:r>
          </w:p>
        </w:tc>
      </w:tr>
      <w:tr>
        <w:tc>
          <w:tcPr>
            <w:tcW w:type="dxa" w:w="1728"/>
          </w:tcPr>
          <w:p>
            <w:r>
              <w:rPr>
                <w:sz w:val="18"/>
              </w:rPr>
              <w:t>8. Integrated planning</w:t>
            </w:r>
          </w:p>
        </w:tc>
        <w:tc>
          <w:tcPr>
            <w:tcW w:type="dxa" w:w="1728"/>
          </w:tcPr>
          <w:p>
            <w:r>
              <w:rPr>
                <w:sz w:val="18"/>
              </w:rPr>
              <w:t>Group CSO</w:t>
            </w:r>
          </w:p>
        </w:tc>
        <w:tc>
          <w:tcPr>
            <w:tcW w:type="dxa" w:w="1728"/>
          </w:tcPr>
          <w:p>
            <w:r>
              <w:rPr>
                <w:sz w:val="18"/>
              </w:rPr>
              <w:t>Q3 FY2026</w:t>
            </w:r>
          </w:p>
        </w:tc>
        <w:tc>
          <w:tcPr>
            <w:tcW w:type="dxa" w:w="1728"/>
          </w:tcPr>
          <w:p>
            <w:r>
              <w:rPr>
                <w:sz w:val="18"/>
              </w:rPr>
              <w:t>Ongoing</w:t>
            </w:r>
          </w:p>
        </w:tc>
        <w:tc>
          <w:tcPr>
            <w:tcW w:type="dxa" w:w="1728"/>
          </w:tcPr>
          <w:p>
            <w:r>
              <w:rPr>
                <w:sz w:val="18"/>
              </w:rPr>
              <w:t>First quarterly review Q4</w:t>
            </w:r>
          </w:p>
        </w:tc>
      </w:tr>
    </w:tbl>
    <w:p>
      <w:pPr>
        <w:spacing w:before="240" w:after="80"/>
      </w:pPr>
      <w:r>
        <w:rPr>
          <w:b/>
          <w:color w:val="1F2D55"/>
          <w:sz w:val="26"/>
        </w:rPr>
        <w:t>7. Risks to delivery</w:t>
      </w:r>
    </w:p>
    <w:p>
      <w:pPr>
        <w:pStyle w:val="ListBullet"/>
        <w:spacing w:after="40"/>
      </w:pPr>
      <w:r>
        <w:rPr>
          <w:sz w:val="20"/>
        </w:rPr>
        <w:t>Change-management capacity — execution depth is the principal constraint, not strategy.</w:t>
      </w:r>
    </w:p>
    <w:p>
      <w:pPr>
        <w:pStyle w:val="ListBullet"/>
        <w:spacing w:after="40"/>
      </w:pPr>
      <w:r>
        <w:rPr>
          <w:sz w:val="20"/>
        </w:rPr>
        <w:t>Talent retention — competitor activity is intense for the top 5% of talent.</w:t>
      </w:r>
    </w:p>
    <w:p>
      <w:pPr>
        <w:pStyle w:val="ListBullet"/>
        <w:spacing w:after="40"/>
      </w:pPr>
      <w:r>
        <w:rPr>
          <w:sz w:val="20"/>
        </w:rPr>
        <w:t>Capital-market conditions — IPO/divestment timing risk for portfolio recalibration.</w:t>
      </w:r>
    </w:p>
    <w:p>
      <w:pPr>
        <w:pStyle w:val="ListBullet"/>
        <w:spacing w:after="40"/>
      </w:pPr>
      <w:r>
        <w:rPr>
          <w:sz w:val="20"/>
        </w:rPr>
        <w:t>Regulatory pace — proposed BNM and OJK directives will impact Banking division in FY2027.</w:t>
      </w:r>
    </w:p>
    <w:p>
      <w:pPr>
        <w:pStyle w:val="ListBullet"/>
        <w:spacing w:after="40"/>
      </w:pPr>
      <w:r>
        <w:rPr>
          <w:sz w:val="20"/>
        </w:rPr>
        <w:t>ESG climate-transition cost — emerging carbon-pricing risk in select markets.</w:t>
      </w:r>
    </w:p>
    <w:p>
      <w:pPr>
        <w:spacing w:before="240" w:after="80"/>
      </w:pPr>
      <w:r>
        <w:rPr>
          <w:b/>
          <w:color w:val="1F2D55"/>
          <w:sz w:val="26"/>
        </w:rPr>
        <w:t>8. Conclusion</w:t>
      </w:r>
    </w:p>
    <w:p>
      <w:pPr>
        <w:spacing w:after="80"/>
      </w:pPr>
      <w:r>
        <w:rPr>
          <w:i w:val="0"/>
          <w:sz w:val="20"/>
        </w:rPr>
        <w:t>The strategic direction is right; the issue is depth and pace of execution. The eight recommendations together address the execution gap and position the Group to deliver the FY2030 vision committed at the 2024 strategy refresh.</w:t>
      </w:r>
    </w:p>
    <w:p>
      <w:pPr>
        <w:spacing w:before="240" w:after="80"/>
      </w:pPr>
      <w:r>
        <w:rPr>
          <w:b/>
          <w:color w:val="1F2D55"/>
          <w:sz w:val="26"/>
        </w:rPr>
        <w:t>Appendices</w:t>
      </w:r>
    </w:p>
    <w:p>
      <w:pPr>
        <w:pStyle w:val="ListBullet"/>
        <w:spacing w:after="40"/>
      </w:pPr>
      <w:r>
        <w:rPr>
          <w:sz w:val="20"/>
        </w:rPr>
        <w:t>Appendix A — Detailed peer-group benchmarks (12 ASEAN, 6 global)</w:t>
      </w:r>
    </w:p>
    <w:p>
      <w:pPr>
        <w:pStyle w:val="ListBullet"/>
        <w:spacing w:after="40"/>
      </w:pPr>
      <w:r>
        <w:rPr>
          <w:sz w:val="20"/>
        </w:rPr>
        <w:t>Appendix B — Division-level KPI scorecards</w:t>
      </w:r>
    </w:p>
    <w:p>
      <w:pPr>
        <w:pStyle w:val="ListBullet"/>
        <w:spacing w:after="40"/>
      </w:pPr>
      <w:r>
        <w:rPr>
          <w:sz w:val="20"/>
        </w:rPr>
        <w:t>Appendix C — Recommended KPI dashboard for integrated planning</w:t>
      </w:r>
    </w:p>
    <w:p>
      <w:pPr>
        <w:pStyle w:val="ListBullet"/>
        <w:spacing w:after="40"/>
      </w:pPr>
      <w:r>
        <w:rPr>
          <w:sz w:val="20"/>
        </w:rPr>
        <w:t>Appendix D — Source-data manifest and methodology notes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