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w:hAnsi="Aptos"/>
          <w:b/>
          <w:color w:val="1F4E79"/>
          <w:sz w:val="64"/>
        </w:rPr>
        <w:t>ZAVA GROUP</w:t>
        <w:br/>
      </w:r>
      <w:r>
        <w:rPr>
          <w:rFonts w:ascii="Aptos" w:hAnsi="Aptos"/>
          <w:b/>
          <w:color w:val="1F4E79"/>
          <w:sz w:val="48"/>
        </w:rPr>
        <w:t>Group Policy Handbook</w:t>
      </w:r>
    </w:p>
    <w:p>
      <w:pPr>
        <w:jc w:val="center"/>
      </w:pPr>
      <w:r>
        <w:rPr>
          <w:rFonts w:ascii="Aptos" w:hAnsi="Aptos"/>
          <w:i/>
          <w:color w:val="595959"/>
          <w:sz w:val="22"/>
        </w:rPr>
        <w:t>Version 8.2 | Effective 1 January FY2025</w:t>
        <w:br/>
        <w:t>Board-Approved | Group-wide application</w:t>
      </w:r>
    </w:p>
    <w:p>
      <w:r>
        <w:br w:type="page"/>
      </w:r>
    </w:p>
    <w:p>
      <w:pPr>
        <w:keepNext/>
        <w:spacing w:before="360" w:after="120"/>
      </w:pPr>
      <w:r>
        <w:rPr>
          <w:rFonts w:ascii="Aptos" w:hAnsi="Aptos"/>
          <w:b/>
          <w:color w:val="1F4E79"/>
          <w:sz w:val="40"/>
        </w:rPr>
        <w:t>Table of Contents</w:t>
      </w:r>
    </w:p>
    <w:p>
      <w:pPr>
        <w:spacing w:after="120" w:line="276" w:lineRule="auto"/>
      </w:pPr>
      <w:r>
        <w:rPr>
          <w:rFonts w:ascii="Aptos" w:hAnsi="Aptos"/>
          <w:b w:val="0"/>
          <w:i w:val="0"/>
          <w:sz w:val="22"/>
        </w:rPr>
        <w:t>1. Corporate Governance</w:t>
      </w:r>
    </w:p>
    <w:p>
      <w:pPr>
        <w:spacing w:after="120" w:line="276" w:lineRule="auto"/>
      </w:pPr>
      <w:r>
        <w:rPr>
          <w:rFonts w:ascii="Aptos" w:hAnsi="Aptos"/>
          <w:b w:val="0"/>
          <w:i w:val="0"/>
          <w:sz w:val="22"/>
        </w:rPr>
        <w:t>2. Code of Ethics &amp; Business Conduct</w:t>
      </w:r>
    </w:p>
    <w:p>
      <w:pPr>
        <w:spacing w:after="120" w:line="276" w:lineRule="auto"/>
      </w:pPr>
      <w:r>
        <w:rPr>
          <w:rFonts w:ascii="Aptos" w:hAnsi="Aptos"/>
          <w:b w:val="0"/>
          <w:i w:val="0"/>
          <w:sz w:val="22"/>
        </w:rPr>
        <w:t>3. Human Resources Policy</w:t>
      </w:r>
    </w:p>
    <w:p>
      <w:pPr>
        <w:spacing w:after="120" w:line="276" w:lineRule="auto"/>
      </w:pPr>
      <w:r>
        <w:rPr>
          <w:rFonts w:ascii="Aptos" w:hAnsi="Aptos"/>
          <w:b w:val="0"/>
          <w:i w:val="0"/>
          <w:sz w:val="22"/>
        </w:rPr>
        <w:t>4. Financial Governance &amp; Delegation of Authority</w:t>
      </w:r>
    </w:p>
    <w:p>
      <w:pPr>
        <w:spacing w:after="120" w:line="276" w:lineRule="auto"/>
      </w:pPr>
      <w:r>
        <w:rPr>
          <w:rFonts w:ascii="Aptos" w:hAnsi="Aptos"/>
          <w:b w:val="0"/>
          <w:i w:val="0"/>
          <w:sz w:val="22"/>
        </w:rPr>
        <w:t>5. Procurement &amp; Vendor Management</w:t>
      </w:r>
    </w:p>
    <w:p>
      <w:pPr>
        <w:spacing w:after="120" w:line="276" w:lineRule="auto"/>
      </w:pPr>
      <w:r>
        <w:rPr>
          <w:rFonts w:ascii="Aptos" w:hAnsi="Aptos"/>
          <w:b w:val="0"/>
          <w:i w:val="0"/>
          <w:sz w:val="22"/>
        </w:rPr>
        <w:t>6. Data Privacy &amp; Protection (PDPA MY + UU PDP ID)</w:t>
      </w:r>
    </w:p>
    <w:p>
      <w:pPr>
        <w:spacing w:after="120" w:line="276" w:lineRule="auto"/>
      </w:pPr>
      <w:r>
        <w:rPr>
          <w:rFonts w:ascii="Aptos" w:hAnsi="Aptos"/>
          <w:b w:val="0"/>
          <w:i w:val="0"/>
          <w:sz w:val="22"/>
        </w:rPr>
        <w:t>7. Environmental, Social &amp; Governance (ESG)</w:t>
      </w:r>
    </w:p>
    <w:p>
      <w:pPr>
        <w:spacing w:after="120" w:line="276" w:lineRule="auto"/>
      </w:pPr>
      <w:r>
        <w:rPr>
          <w:rFonts w:ascii="Aptos" w:hAnsi="Aptos"/>
          <w:b w:val="0"/>
          <w:i w:val="0"/>
          <w:sz w:val="22"/>
        </w:rPr>
        <w:t>8. Health, Safety &amp; Environment (HSE)</w:t>
      </w:r>
    </w:p>
    <w:p>
      <w:pPr>
        <w:spacing w:after="120" w:line="276" w:lineRule="auto"/>
      </w:pPr>
      <w:r>
        <w:rPr>
          <w:rFonts w:ascii="Aptos" w:hAnsi="Aptos"/>
          <w:b w:val="0"/>
          <w:i w:val="0"/>
          <w:sz w:val="22"/>
        </w:rPr>
        <w:t>9. Legal &amp; Compliance</w:t>
      </w:r>
    </w:p>
    <w:p>
      <w:pPr>
        <w:spacing w:after="120" w:line="276" w:lineRule="auto"/>
      </w:pPr>
      <w:r>
        <w:rPr>
          <w:rFonts w:ascii="Aptos" w:hAnsi="Aptos"/>
          <w:b w:val="0"/>
          <w:i w:val="0"/>
          <w:sz w:val="22"/>
        </w:rPr>
        <w:t>10. Enterprise Risk Management</w:t>
      </w:r>
    </w:p>
    <w:p>
      <w:pPr>
        <w:spacing w:after="120" w:line="276" w:lineRule="auto"/>
      </w:pPr>
      <w:r>
        <w:rPr>
          <w:rFonts w:ascii="Aptos" w:hAnsi="Aptos"/>
          <w:b w:val="0"/>
          <w:i w:val="0"/>
          <w:sz w:val="22"/>
        </w:rPr>
        <w:t>Appendix A — Approval Matrix</w:t>
      </w:r>
    </w:p>
    <w:p>
      <w:pPr>
        <w:spacing w:after="120" w:line="276" w:lineRule="auto"/>
      </w:pPr>
      <w:r>
        <w:rPr>
          <w:rFonts w:ascii="Aptos" w:hAnsi="Aptos"/>
          <w:b w:val="0"/>
          <w:i w:val="0"/>
          <w:sz w:val="22"/>
        </w:rPr>
        <w:t>Appendix B — Definitions &amp; Acronyms</w:t>
      </w:r>
    </w:p>
    <w:p>
      <w:pPr>
        <w:spacing w:after="120" w:line="276" w:lineRule="auto"/>
      </w:pPr>
      <w:r>
        <w:rPr>
          <w:rFonts w:ascii="Aptos" w:hAnsi="Aptos"/>
          <w:b w:val="0"/>
          <w:i w:val="0"/>
          <w:sz w:val="22"/>
        </w:rPr>
        <w:t>Appendix C — Policy Owner &amp; Review Cycle</w:t>
      </w:r>
    </w:p>
    <w:p>
      <w:pPr>
        <w:spacing w:after="120" w:line="276" w:lineRule="auto"/>
      </w:pPr>
      <w:r>
        <w:rPr>
          <w:rFonts w:ascii="Aptos" w:hAnsi="Aptos"/>
          <w:b w:val="0"/>
          <w:i/>
          <w:sz w:val="20"/>
        </w:rPr>
        <w:br/>
        <w:t>This Handbook supersedes Version 8.1 (FY2024). All Zava Group employees, contractors and authorised representatives are required to comply with the policies set out herein, as adapted to local regulatory requirements in Malaysia, Indonesia, Singapore, Vietnam, Thailand and the Philippines.</w:t>
      </w:r>
    </w:p>
    <w:p>
      <w:r>
        <w:br w:type="page"/>
      </w:r>
    </w:p>
    <w:p>
      <w:pPr>
        <w:keepNext/>
        <w:spacing w:before="360" w:after="120"/>
      </w:pPr>
      <w:r>
        <w:rPr>
          <w:rFonts w:ascii="Aptos" w:hAnsi="Aptos"/>
          <w:b/>
          <w:color w:val="1F4E79"/>
          <w:sz w:val="40"/>
        </w:rPr>
        <w:t>1. Corporate Governance</w:t>
      </w:r>
    </w:p>
    <w:p>
      <w:pPr>
        <w:spacing w:after="120" w:line="276" w:lineRule="auto"/>
      </w:pPr>
      <w:r>
        <w:rPr>
          <w:rFonts w:ascii="Aptos" w:hAnsi="Aptos"/>
          <w:b/>
          <w:i w:val="0"/>
          <w:sz w:val="24"/>
        </w:rPr>
        <w:t>1.1 Purpose &amp; Scope</w:t>
      </w:r>
    </w:p>
    <w:p>
      <w:pPr>
        <w:spacing w:after="120" w:line="276" w:lineRule="auto"/>
      </w:pPr>
      <w:r>
        <w:rPr>
          <w:rFonts w:ascii="Aptos" w:hAnsi="Aptos"/>
          <w:b w:val="0"/>
          <w:i w:val="0"/>
          <w:sz w:val="20"/>
        </w:rPr>
        <w:t>This Section establishes the corporate-governance framework for Zava Group and all subsidiaries (collectively, the "Group"). It is informed by the Malaysian Code on Corporate Governance (MCCG 2021), the Indonesia Financial Services Authority Regulation No. 21/POJK.04/2015 on Public Company Governance, and aligns with the OECD Principles of Corporate Governance.</w:t>
      </w:r>
    </w:p>
    <w:p>
      <w:pPr>
        <w:spacing w:after="120" w:line="276" w:lineRule="auto"/>
      </w:pPr>
      <w:r>
        <w:rPr>
          <w:rFonts w:ascii="Aptos" w:hAnsi="Aptos"/>
          <w:b/>
          <w:i w:val="0"/>
          <w:sz w:val="24"/>
        </w:rPr>
        <w:t>1.2 Board of Directors</w:t>
      </w:r>
    </w:p>
    <w:p>
      <w:pPr>
        <w:spacing w:after="120" w:line="276" w:lineRule="auto"/>
      </w:pPr>
      <w:r>
        <w:rPr>
          <w:rFonts w:ascii="Aptos" w:hAnsi="Aptos"/>
          <w:b w:val="0"/>
          <w:i w:val="0"/>
          <w:sz w:val="20"/>
        </w:rPr>
        <w:t>The Group is led by a unitary Board of nine (9) Directors, comprising:</w:t>
      </w:r>
    </w:p>
    <w:p>
      <w:pPr>
        <w:pStyle w:val="ListBullet"/>
        <w:spacing w:after="60"/>
      </w:pPr>
      <w:r>
        <w:rPr>
          <w:rFonts w:ascii="Aptos" w:hAnsi="Aptos"/>
          <w:sz w:val="20"/>
        </w:rPr>
        <w:t>One (1) Non-Executive Group Chairman (independent)</w:t>
      </w:r>
    </w:p>
    <w:p>
      <w:pPr>
        <w:pStyle w:val="ListBullet"/>
        <w:spacing w:after="60"/>
      </w:pPr>
      <w:r>
        <w:rPr>
          <w:rFonts w:ascii="Aptos" w:hAnsi="Aptos"/>
          <w:sz w:val="20"/>
        </w:rPr>
        <w:t>One (1) Group Chief Executive (executive)</w:t>
      </w:r>
    </w:p>
    <w:p>
      <w:pPr>
        <w:pStyle w:val="ListBullet"/>
        <w:spacing w:after="60"/>
      </w:pPr>
      <w:r>
        <w:rPr>
          <w:rFonts w:ascii="Aptos" w:hAnsi="Aptos"/>
          <w:sz w:val="20"/>
        </w:rPr>
        <w:t>Four (4) Independent Non-Executive Directors</w:t>
      </w:r>
    </w:p>
    <w:p>
      <w:pPr>
        <w:pStyle w:val="ListBullet"/>
        <w:spacing w:after="60"/>
      </w:pPr>
      <w:r>
        <w:rPr>
          <w:rFonts w:ascii="Aptos" w:hAnsi="Aptos"/>
          <w:sz w:val="20"/>
        </w:rPr>
        <w:t>Three (3) Non-Independent Non-Executive Directors representing major shareholders</w:t>
      </w:r>
    </w:p>
    <w:p>
      <w:pPr>
        <w:spacing w:after="120" w:line="276" w:lineRule="auto"/>
      </w:pPr>
      <w:r>
        <w:rPr>
          <w:rFonts w:ascii="Aptos" w:hAnsi="Aptos"/>
          <w:b w:val="0"/>
          <w:i w:val="0"/>
          <w:sz w:val="20"/>
        </w:rPr>
        <w:t>Independence is reviewed annually against MCCG and Bursa Malaysia Listing Requirements; any Director serving more than nine (9) cumulative years is subject to shareholder re-election with two-tier voting.</w:t>
      </w:r>
    </w:p>
    <w:p>
      <w:pPr>
        <w:spacing w:after="120" w:line="276" w:lineRule="auto"/>
      </w:pPr>
      <w:r>
        <w:rPr>
          <w:rFonts w:ascii="Aptos" w:hAnsi="Aptos"/>
          <w:b/>
          <w:i w:val="0"/>
          <w:sz w:val="24"/>
        </w:rPr>
        <w:t>1.3 Board Committees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84"/>
            <w:shd w:val="clear" w:color="auto" w:fill="1F4E79"/>
          </w:tcPr>
          <w:p>
            <w:r/>
            <w:r>
              <w:rPr>
                <w:rFonts w:ascii="Aptos" w:hAnsi="Aptos"/>
                <w:b/>
                <w:color w:val="FFFFFF"/>
                <w:sz w:val="20"/>
              </w:rPr>
              <w:t>Committee</w:t>
            </w:r>
          </w:p>
        </w:tc>
        <w:tc>
          <w:tcPr>
            <w:tcW w:type="dxa" w:w="2835"/>
            <w:shd w:val="clear" w:color="auto" w:fill="1F4E79"/>
          </w:tcPr>
          <w:p>
            <w:r/>
            <w:r>
              <w:rPr>
                <w:rFonts w:ascii="Aptos" w:hAnsi="Aptos"/>
                <w:b/>
                <w:color w:val="FFFFFF"/>
                <w:sz w:val="20"/>
              </w:rPr>
              <w:t>Mandate</w:t>
            </w:r>
          </w:p>
        </w:tc>
        <w:tc>
          <w:tcPr>
            <w:tcW w:type="dxa" w:w="2268"/>
            <w:shd w:val="clear" w:color="auto" w:fill="1F4E79"/>
          </w:tcPr>
          <w:p>
            <w:r/>
            <w:r>
              <w:rPr>
                <w:rFonts w:ascii="Aptos" w:hAnsi="Aptos"/>
                <w:b/>
                <w:color w:val="FFFFFF"/>
                <w:sz w:val="20"/>
              </w:rPr>
              <w:t>Composition</w:t>
            </w:r>
          </w:p>
        </w:tc>
        <w:tc>
          <w:tcPr>
            <w:tcW w:type="dxa" w:w="1020"/>
            <w:shd w:val="clear" w:color="auto" w:fill="1F4E79"/>
          </w:tcPr>
          <w:p>
            <w:r/>
            <w:r>
              <w:rPr>
                <w:rFonts w:ascii="Aptos" w:hAnsi="Aptos"/>
                <w:b/>
                <w:color w:val="FFFFFF"/>
                <w:sz w:val="20"/>
              </w:rPr>
              <w:t>Quorum</w:t>
            </w:r>
          </w:p>
        </w:tc>
        <w:tc>
          <w:tcPr>
            <w:tcW w:type="dxa" w:w="1417"/>
            <w:shd w:val="clear" w:color="auto" w:fill="1F4E79"/>
          </w:tcPr>
          <w:p>
            <w:r/>
            <w:r>
              <w:rPr>
                <w:rFonts w:ascii="Aptos" w:hAnsi="Aptos"/>
                <w:b/>
                <w:color w:val="FFFFFF"/>
                <w:sz w:val="20"/>
              </w:rPr>
              <w:t>Frequency</w:t>
            </w:r>
          </w:p>
        </w:tc>
      </w:tr>
      <w:tr>
        <w:tc>
          <w:tcPr>
            <w:tcW w:type="dxa" w:w="1984"/>
          </w:tcPr>
          <w:p>
            <w:r/>
            <w:r>
              <w:rPr>
                <w:rFonts w:ascii="Aptos" w:hAnsi="Aptos"/>
                <w:sz w:val="18"/>
              </w:rPr>
              <w:t>Audit &amp; Risk</w:t>
            </w:r>
          </w:p>
        </w:tc>
        <w:tc>
          <w:tcPr>
            <w:tcW w:type="dxa" w:w="2835"/>
          </w:tcPr>
          <w:p>
            <w:r/>
            <w:r>
              <w:rPr>
                <w:rFonts w:ascii="Aptos" w:hAnsi="Aptos"/>
                <w:sz w:val="18"/>
              </w:rPr>
              <w:t>External audit, internal audit, ERM, financial integrity</w:t>
            </w:r>
          </w:p>
        </w:tc>
        <w:tc>
          <w:tcPr>
            <w:tcW w:type="dxa" w:w="2268"/>
          </w:tcPr>
          <w:p>
            <w:r/>
            <w:r>
              <w:rPr>
                <w:rFonts w:ascii="Aptos" w:hAnsi="Aptos"/>
                <w:sz w:val="18"/>
              </w:rPr>
              <w:t>3 INED + Group CFO (in attendance)</w:t>
            </w:r>
          </w:p>
        </w:tc>
        <w:tc>
          <w:tcPr>
            <w:tcW w:type="dxa" w:w="1020"/>
          </w:tcPr>
          <w:p>
            <w:r/>
            <w:r>
              <w:rPr>
                <w:rFonts w:ascii="Aptos" w:hAnsi="Aptos"/>
                <w:sz w:val="18"/>
              </w:rPr>
              <w:t>2 INED</w:t>
            </w:r>
          </w:p>
        </w:tc>
        <w:tc>
          <w:tcPr>
            <w:tcW w:type="dxa" w:w="1417"/>
          </w:tcPr>
          <w:p>
            <w:r/>
            <w:r>
              <w:rPr>
                <w:rFonts w:ascii="Aptos" w:hAnsi="Aptos"/>
                <w:sz w:val="18"/>
              </w:rPr>
              <w:t>Quarterly + ad-hoc</w:t>
            </w:r>
          </w:p>
        </w:tc>
      </w:tr>
      <w:tr>
        <w:tc>
          <w:tcPr>
            <w:tcW w:type="dxa" w:w="1984"/>
          </w:tcPr>
          <w:p>
            <w:r/>
            <w:r>
              <w:rPr>
                <w:rFonts w:ascii="Aptos" w:hAnsi="Aptos"/>
                <w:sz w:val="18"/>
              </w:rPr>
              <w:t>Nomination &amp; Remuneration</w:t>
            </w:r>
          </w:p>
        </w:tc>
        <w:tc>
          <w:tcPr>
            <w:tcW w:type="dxa" w:w="2835"/>
          </w:tcPr>
          <w:p>
            <w:r/>
            <w:r>
              <w:rPr>
                <w:rFonts w:ascii="Aptos" w:hAnsi="Aptos"/>
                <w:sz w:val="18"/>
              </w:rPr>
              <w:t>Director nomination, succession, executive remuneration</w:t>
            </w:r>
          </w:p>
        </w:tc>
        <w:tc>
          <w:tcPr>
            <w:tcW w:type="dxa" w:w="2268"/>
          </w:tcPr>
          <w:p>
            <w:r/>
            <w:r>
              <w:rPr>
                <w:rFonts w:ascii="Aptos" w:hAnsi="Aptos"/>
                <w:sz w:val="18"/>
              </w:rPr>
              <w:t>3 INED + Chairman</w:t>
            </w:r>
          </w:p>
        </w:tc>
        <w:tc>
          <w:tcPr>
            <w:tcW w:type="dxa" w:w="1020"/>
          </w:tcPr>
          <w:p>
            <w:r/>
            <w:r>
              <w:rPr>
                <w:rFonts w:ascii="Aptos" w:hAnsi="Aptos"/>
                <w:sz w:val="18"/>
              </w:rPr>
              <w:t>2 INED</w:t>
            </w:r>
          </w:p>
        </w:tc>
        <w:tc>
          <w:tcPr>
            <w:tcW w:type="dxa" w:w="1417"/>
          </w:tcPr>
          <w:p>
            <w:r/>
            <w:r>
              <w:rPr>
                <w:rFonts w:ascii="Aptos" w:hAnsi="Aptos"/>
                <w:sz w:val="18"/>
              </w:rPr>
              <w:t>Half-yearly</w:t>
            </w:r>
          </w:p>
        </w:tc>
      </w:tr>
      <w:tr>
        <w:tc>
          <w:tcPr>
            <w:tcW w:type="dxa" w:w="1984"/>
          </w:tcPr>
          <w:p>
            <w:r/>
            <w:r>
              <w:rPr>
                <w:rFonts w:ascii="Aptos" w:hAnsi="Aptos"/>
                <w:sz w:val="18"/>
              </w:rPr>
              <w:t>Sustainability &amp; ESG</w:t>
            </w:r>
          </w:p>
        </w:tc>
        <w:tc>
          <w:tcPr>
            <w:tcW w:type="dxa" w:w="2835"/>
          </w:tcPr>
          <w:p>
            <w:r/>
            <w:r>
              <w:rPr>
                <w:rFonts w:ascii="Aptos" w:hAnsi="Aptos"/>
                <w:sz w:val="18"/>
              </w:rPr>
              <w:t>Climate, social, governance disclosures and TCFD</w:t>
            </w:r>
          </w:p>
        </w:tc>
        <w:tc>
          <w:tcPr>
            <w:tcW w:type="dxa" w:w="2268"/>
          </w:tcPr>
          <w:p>
            <w:r/>
            <w:r>
              <w:rPr>
                <w:rFonts w:ascii="Aptos" w:hAnsi="Aptos"/>
                <w:sz w:val="18"/>
              </w:rPr>
              <w:t>2 INED + 1 NED + Group CSO</w:t>
            </w:r>
          </w:p>
        </w:tc>
        <w:tc>
          <w:tcPr>
            <w:tcW w:type="dxa" w:w="1020"/>
          </w:tcPr>
          <w:p>
            <w:r/>
            <w:r>
              <w:rPr>
                <w:rFonts w:ascii="Aptos" w:hAnsi="Aptos"/>
                <w:sz w:val="18"/>
              </w:rPr>
              <w:t>2</w:t>
            </w:r>
          </w:p>
        </w:tc>
        <w:tc>
          <w:tcPr>
            <w:tcW w:type="dxa" w:w="1417"/>
          </w:tcPr>
          <w:p>
            <w:r/>
            <w:r>
              <w:rPr>
                <w:rFonts w:ascii="Aptos" w:hAnsi="Aptos"/>
                <w:sz w:val="18"/>
              </w:rPr>
              <w:t>Quarterly</w:t>
            </w:r>
          </w:p>
        </w:tc>
      </w:tr>
      <w:tr>
        <w:tc>
          <w:tcPr>
            <w:tcW w:type="dxa" w:w="1984"/>
          </w:tcPr>
          <w:p>
            <w:r/>
            <w:r>
              <w:rPr>
                <w:rFonts w:ascii="Aptos" w:hAnsi="Aptos"/>
                <w:sz w:val="18"/>
              </w:rPr>
              <w:t>Investment &amp; Capital</w:t>
            </w:r>
          </w:p>
        </w:tc>
        <w:tc>
          <w:tcPr>
            <w:tcW w:type="dxa" w:w="2835"/>
          </w:tcPr>
          <w:p>
            <w:r/>
            <w:r>
              <w:rPr>
                <w:rFonts w:ascii="Aptos" w:hAnsi="Aptos"/>
                <w:sz w:val="18"/>
              </w:rPr>
              <w:t>Capex &gt;MYR 100M, M&amp;A, divestments, capital structure</w:t>
            </w:r>
          </w:p>
        </w:tc>
        <w:tc>
          <w:tcPr>
            <w:tcW w:type="dxa" w:w="2268"/>
          </w:tcPr>
          <w:p>
            <w:r/>
            <w:r>
              <w:rPr>
                <w:rFonts w:ascii="Aptos" w:hAnsi="Aptos"/>
                <w:sz w:val="18"/>
              </w:rPr>
              <w:t>3 NED + Group CFO</w:t>
            </w:r>
          </w:p>
        </w:tc>
        <w:tc>
          <w:tcPr>
            <w:tcW w:type="dxa" w:w="1020"/>
          </w:tcPr>
          <w:p>
            <w:r/>
            <w:r>
              <w:rPr>
                <w:rFonts w:ascii="Aptos" w:hAnsi="Aptos"/>
                <w:sz w:val="18"/>
              </w:rPr>
              <w:t>3</w:t>
            </w:r>
          </w:p>
        </w:tc>
        <w:tc>
          <w:tcPr>
            <w:tcW w:type="dxa" w:w="1417"/>
          </w:tcPr>
          <w:p>
            <w:r/>
            <w:r>
              <w:rPr>
                <w:rFonts w:ascii="Aptos" w:hAnsi="Aptos"/>
                <w:sz w:val="18"/>
              </w:rPr>
              <w:t>Monthly</w:t>
            </w:r>
          </w:p>
        </w:tc>
      </w:tr>
      <w:tr>
        <w:tc>
          <w:tcPr>
            <w:tcW w:type="dxa" w:w="1984"/>
          </w:tcPr>
          <w:p>
            <w:r/>
            <w:r>
              <w:rPr>
                <w:rFonts w:ascii="Aptos" w:hAnsi="Aptos"/>
                <w:sz w:val="18"/>
              </w:rPr>
              <w:t>Related Party Transactions</w:t>
            </w:r>
          </w:p>
        </w:tc>
        <w:tc>
          <w:tcPr>
            <w:tcW w:type="dxa" w:w="2835"/>
          </w:tcPr>
          <w:p>
            <w:r/>
            <w:r>
              <w:rPr>
                <w:rFonts w:ascii="Aptos" w:hAnsi="Aptos"/>
                <w:sz w:val="18"/>
              </w:rPr>
              <w:t>RPT review and disclosure per MFRS 124 / PSAK 7</w:t>
            </w:r>
          </w:p>
        </w:tc>
        <w:tc>
          <w:tcPr>
            <w:tcW w:type="dxa" w:w="2268"/>
          </w:tcPr>
          <w:p>
            <w:r/>
            <w:r>
              <w:rPr>
                <w:rFonts w:ascii="Aptos" w:hAnsi="Aptos"/>
                <w:sz w:val="18"/>
              </w:rPr>
              <w:t>3 INED</w:t>
            </w:r>
          </w:p>
        </w:tc>
        <w:tc>
          <w:tcPr>
            <w:tcW w:type="dxa" w:w="1020"/>
          </w:tcPr>
          <w:p>
            <w:r/>
            <w:r>
              <w:rPr>
                <w:rFonts w:ascii="Aptos" w:hAnsi="Aptos"/>
                <w:sz w:val="18"/>
              </w:rPr>
              <w:t>2</w:t>
            </w:r>
          </w:p>
        </w:tc>
        <w:tc>
          <w:tcPr>
            <w:tcW w:type="dxa" w:w="1417"/>
          </w:tcPr>
          <w:p>
            <w:r/>
            <w:r>
              <w:rPr>
                <w:rFonts w:ascii="Aptos" w:hAnsi="Aptos"/>
                <w:sz w:val="18"/>
              </w:rPr>
              <w:t>Quarterly + ad-hoc</w:t>
            </w:r>
          </w:p>
        </w:tc>
      </w:tr>
    </w:tbl>
    <w:p>
      <w:pPr>
        <w:spacing w:after="120" w:line="276" w:lineRule="auto"/>
      </w:pPr>
      <w:r>
        <w:rPr>
          <w:rFonts w:ascii="Aptos" w:hAnsi="Aptos"/>
          <w:b/>
          <w:i w:val="0"/>
          <w:sz w:val="24"/>
        </w:rPr>
        <w:t>1.4 Director Duties</w:t>
      </w:r>
    </w:p>
    <w:p>
      <w:pPr>
        <w:spacing w:after="120" w:line="276" w:lineRule="auto"/>
      </w:pPr>
      <w:r>
        <w:rPr>
          <w:rFonts w:ascii="Aptos" w:hAnsi="Aptos"/>
          <w:b w:val="0"/>
          <w:i w:val="0"/>
          <w:sz w:val="20"/>
        </w:rPr>
        <w:t>Each Director shall:</w:t>
      </w:r>
    </w:p>
    <w:p>
      <w:pPr>
        <w:pStyle w:val="ListNumber"/>
        <w:spacing w:after="60"/>
      </w:pPr>
      <w:r>
        <w:rPr>
          <w:rFonts w:ascii="Aptos" w:hAnsi="Aptos"/>
          <w:sz w:val="20"/>
        </w:rPr>
        <w:t>Act in good faith and in the best interests of the Group, exercising independent judgement.</w:t>
      </w:r>
    </w:p>
    <w:p>
      <w:pPr>
        <w:pStyle w:val="ListNumber"/>
        <w:spacing w:after="60"/>
      </w:pPr>
      <w:r>
        <w:rPr>
          <w:rFonts w:ascii="Aptos" w:hAnsi="Aptos"/>
          <w:sz w:val="20"/>
        </w:rPr>
        <w:t>Disclose any direct or indirect interest in any transaction, contract or arrangement involving the Group, in writing, prior to deliberation.</w:t>
      </w:r>
    </w:p>
    <w:p>
      <w:pPr>
        <w:pStyle w:val="ListNumber"/>
        <w:spacing w:after="60"/>
      </w:pPr>
      <w:r>
        <w:rPr>
          <w:rFonts w:ascii="Aptos" w:hAnsi="Aptos"/>
          <w:sz w:val="20"/>
        </w:rPr>
        <w:t>Devote sufficient time to discharge the role; cumulative directorships in listed entities shall not exceed five (5) at any time.</w:t>
      </w:r>
    </w:p>
    <w:p>
      <w:pPr>
        <w:pStyle w:val="ListNumber"/>
        <w:spacing w:after="60"/>
      </w:pPr>
      <w:r>
        <w:rPr>
          <w:rFonts w:ascii="Aptos" w:hAnsi="Aptos"/>
          <w:sz w:val="20"/>
        </w:rPr>
        <w:t>Attend not fewer than 75% of scheduled Board meetings annually.</w:t>
      </w:r>
    </w:p>
    <w:p>
      <w:pPr>
        <w:pStyle w:val="ListNumber"/>
        <w:spacing w:after="60"/>
      </w:pPr>
      <w:r>
        <w:rPr>
          <w:rFonts w:ascii="Aptos" w:hAnsi="Aptos"/>
          <w:sz w:val="20"/>
        </w:rPr>
        <w:t>Complete a minimum of 25 CPD/CPE hours per annum on relevant topics including ESG, cyber risk, AI governance and sector developments.</w:t>
      </w:r>
    </w:p>
    <w:p>
      <w:pPr>
        <w:spacing w:after="120" w:line="276" w:lineRule="auto"/>
      </w:pPr>
      <w:r>
        <w:rPr>
          <w:rFonts w:ascii="Aptos" w:hAnsi="Aptos"/>
          <w:b/>
          <w:i w:val="0"/>
          <w:sz w:val="24"/>
        </w:rPr>
        <w:t>1.5 Reserved Matters for the Board</w:t>
      </w:r>
    </w:p>
    <w:p>
      <w:pPr>
        <w:spacing w:after="120" w:line="276" w:lineRule="auto"/>
      </w:pPr>
      <w:r>
        <w:rPr>
          <w:rFonts w:ascii="Aptos" w:hAnsi="Aptos"/>
          <w:b w:val="0"/>
          <w:i w:val="0"/>
          <w:sz w:val="20"/>
        </w:rPr>
        <w:t>The following matters are reserved exclusively for the Board and may not be delegated to management or any sub-committee:</w:t>
      </w:r>
    </w:p>
    <w:tbl>
      <w:tblPr>
        <w:tblStyle w:val="LightGrid-Accent1"/>
        <w:tblW w:type="auto" w:w="0"/>
        <w:tblLook w:firstColumn="1" w:firstRow="1" w:lastColumn="0" w:lastRow="0" w:noHBand="0" w:noVBand="1" w:val="04A0"/>
      </w:tblPr>
      <w:tblGrid>
        <w:gridCol w:w="4873"/>
        <w:gridCol w:w="4873"/>
      </w:tblGrid>
      <w:tr>
        <w:tc>
          <w:tcPr>
            <w:tcW w:type="dxa" w:w="3969"/>
            <w:shd w:val="clear" w:color="auto" w:fill="1F4E79"/>
          </w:tcPr>
          <w:p>
            <w:r/>
            <w:r>
              <w:rPr>
                <w:rFonts w:ascii="Aptos" w:hAnsi="Aptos"/>
                <w:b/>
                <w:color w:val="FFFFFF"/>
                <w:sz w:val="20"/>
              </w:rPr>
              <w:t>Matter</w:t>
            </w:r>
          </w:p>
        </w:tc>
        <w:tc>
          <w:tcPr>
            <w:tcW w:type="dxa" w:w="5669"/>
            <w:shd w:val="clear" w:color="auto" w:fill="1F4E79"/>
          </w:tcPr>
          <w:p>
            <w:r/>
            <w:r>
              <w:rPr>
                <w:rFonts w:ascii="Aptos" w:hAnsi="Aptos"/>
                <w:b/>
                <w:color w:val="FFFFFF"/>
                <w:sz w:val="20"/>
              </w:rPr>
              <w:t>Threshold / Description</w:t>
            </w:r>
          </w:p>
        </w:tc>
      </w:tr>
      <w:tr>
        <w:tc>
          <w:tcPr>
            <w:tcW w:type="dxa" w:w="3969"/>
          </w:tcPr>
          <w:p>
            <w:r/>
            <w:r>
              <w:rPr>
                <w:rFonts w:ascii="Aptos" w:hAnsi="Aptos"/>
                <w:sz w:val="18"/>
              </w:rPr>
              <w:t>Capital expenditure or commitment</w:t>
            </w:r>
          </w:p>
        </w:tc>
        <w:tc>
          <w:tcPr>
            <w:tcW w:type="dxa" w:w="5669"/>
          </w:tcPr>
          <w:p>
            <w:r/>
            <w:r>
              <w:rPr>
                <w:rFonts w:ascii="Aptos" w:hAnsi="Aptos"/>
                <w:sz w:val="18"/>
              </w:rPr>
              <w:t>&gt; MYR 250 million single transaction</w:t>
            </w:r>
          </w:p>
        </w:tc>
      </w:tr>
      <w:tr>
        <w:tc>
          <w:tcPr>
            <w:tcW w:type="dxa" w:w="3969"/>
          </w:tcPr>
          <w:p>
            <w:r/>
            <w:r>
              <w:rPr>
                <w:rFonts w:ascii="Aptos" w:hAnsi="Aptos"/>
                <w:sz w:val="18"/>
              </w:rPr>
              <w:t>Mergers, acquisitions, joint ventures, divestments</w:t>
            </w:r>
          </w:p>
        </w:tc>
        <w:tc>
          <w:tcPr>
            <w:tcW w:type="dxa" w:w="5669"/>
          </w:tcPr>
          <w:p>
            <w:r/>
            <w:r>
              <w:rPr>
                <w:rFonts w:ascii="Aptos" w:hAnsi="Aptos"/>
                <w:sz w:val="18"/>
              </w:rPr>
              <w:t>Any transaction &gt; MYR 200 million</w:t>
            </w:r>
          </w:p>
        </w:tc>
      </w:tr>
      <w:tr>
        <w:tc>
          <w:tcPr>
            <w:tcW w:type="dxa" w:w="3969"/>
          </w:tcPr>
          <w:p>
            <w:r/>
            <w:r>
              <w:rPr>
                <w:rFonts w:ascii="Aptos" w:hAnsi="Aptos"/>
                <w:sz w:val="18"/>
              </w:rPr>
              <w:t>Borrowings (incremental)</w:t>
            </w:r>
          </w:p>
        </w:tc>
        <w:tc>
          <w:tcPr>
            <w:tcW w:type="dxa" w:w="5669"/>
          </w:tcPr>
          <w:p>
            <w:r/>
            <w:r>
              <w:rPr>
                <w:rFonts w:ascii="Aptos" w:hAnsi="Aptos"/>
                <w:sz w:val="18"/>
              </w:rPr>
              <w:t>&gt; MYR 500 million single facility</w:t>
            </w:r>
          </w:p>
        </w:tc>
      </w:tr>
      <w:tr>
        <w:tc>
          <w:tcPr>
            <w:tcW w:type="dxa" w:w="3969"/>
          </w:tcPr>
          <w:p>
            <w:r/>
            <w:r>
              <w:rPr>
                <w:rFonts w:ascii="Aptos" w:hAnsi="Aptos"/>
                <w:sz w:val="18"/>
              </w:rPr>
              <w:t>Dividend declaration</w:t>
            </w:r>
          </w:p>
        </w:tc>
        <w:tc>
          <w:tcPr>
            <w:tcW w:type="dxa" w:w="5669"/>
          </w:tcPr>
          <w:p>
            <w:r/>
            <w:r>
              <w:rPr>
                <w:rFonts w:ascii="Aptos" w:hAnsi="Aptos"/>
                <w:sz w:val="18"/>
              </w:rPr>
              <w:t>All interim and final dividends</w:t>
            </w:r>
          </w:p>
        </w:tc>
      </w:tr>
      <w:tr>
        <w:tc>
          <w:tcPr>
            <w:tcW w:type="dxa" w:w="3969"/>
          </w:tcPr>
          <w:p>
            <w:r/>
            <w:r>
              <w:rPr>
                <w:rFonts w:ascii="Aptos" w:hAnsi="Aptos"/>
                <w:sz w:val="18"/>
              </w:rPr>
              <w:t>Issuance of equity / hybrid instruments</w:t>
            </w:r>
          </w:p>
        </w:tc>
        <w:tc>
          <w:tcPr>
            <w:tcW w:type="dxa" w:w="5669"/>
          </w:tcPr>
          <w:p>
            <w:r/>
            <w:r>
              <w:rPr>
                <w:rFonts w:ascii="Aptos" w:hAnsi="Aptos"/>
                <w:sz w:val="18"/>
              </w:rPr>
              <w:t>All issuances</w:t>
            </w:r>
          </w:p>
        </w:tc>
      </w:tr>
      <w:tr>
        <w:tc>
          <w:tcPr>
            <w:tcW w:type="dxa" w:w="3969"/>
          </w:tcPr>
          <w:p>
            <w:r/>
            <w:r>
              <w:rPr>
                <w:rFonts w:ascii="Aptos" w:hAnsi="Aptos"/>
                <w:sz w:val="18"/>
              </w:rPr>
              <w:t>Annual budget and 5-year strategic plan approval</w:t>
            </w:r>
          </w:p>
        </w:tc>
        <w:tc>
          <w:tcPr>
            <w:tcW w:type="dxa" w:w="5669"/>
          </w:tcPr>
          <w:p>
            <w:r/>
            <w:r>
              <w:rPr>
                <w:rFonts w:ascii="Aptos" w:hAnsi="Aptos"/>
                <w:sz w:val="18"/>
              </w:rPr>
              <w:t>Both annual</w:t>
            </w:r>
          </w:p>
        </w:tc>
      </w:tr>
      <w:tr>
        <w:tc>
          <w:tcPr>
            <w:tcW w:type="dxa" w:w="3969"/>
          </w:tcPr>
          <w:p>
            <w:r/>
            <w:r>
              <w:rPr>
                <w:rFonts w:ascii="Aptos" w:hAnsi="Aptos"/>
                <w:sz w:val="18"/>
              </w:rPr>
              <w:t>Material litigation</w:t>
            </w:r>
          </w:p>
        </w:tc>
        <w:tc>
          <w:tcPr>
            <w:tcW w:type="dxa" w:w="5669"/>
          </w:tcPr>
          <w:p>
            <w:r/>
            <w:r>
              <w:rPr>
                <w:rFonts w:ascii="Aptos" w:hAnsi="Aptos"/>
                <w:sz w:val="18"/>
              </w:rPr>
              <w:t>Claim or counterclaim &gt; MYR 50 million</w:t>
            </w:r>
          </w:p>
        </w:tc>
      </w:tr>
      <w:tr>
        <w:tc>
          <w:tcPr>
            <w:tcW w:type="dxa" w:w="3969"/>
          </w:tcPr>
          <w:p>
            <w:r/>
            <w:r>
              <w:rPr>
                <w:rFonts w:ascii="Aptos" w:hAnsi="Aptos"/>
                <w:sz w:val="18"/>
              </w:rPr>
              <w:t>Senior executive appointments</w:t>
            </w:r>
          </w:p>
        </w:tc>
        <w:tc>
          <w:tcPr>
            <w:tcW w:type="dxa" w:w="5669"/>
          </w:tcPr>
          <w:p>
            <w:r/>
            <w:r>
              <w:rPr>
                <w:rFonts w:ascii="Aptos" w:hAnsi="Aptos"/>
                <w:sz w:val="18"/>
              </w:rPr>
              <w:t>Group CEO, Group CFO, Division CEOs, Heads of Internal Audit &amp; Compliance</w:t>
            </w:r>
          </w:p>
        </w:tc>
      </w:tr>
      <w:tr>
        <w:tc>
          <w:tcPr>
            <w:tcW w:type="dxa" w:w="3969"/>
          </w:tcPr>
          <w:p>
            <w:r/>
            <w:r>
              <w:rPr>
                <w:rFonts w:ascii="Aptos" w:hAnsi="Aptos"/>
                <w:sz w:val="18"/>
              </w:rPr>
              <w:t>Material related-party transactions</w:t>
            </w:r>
          </w:p>
        </w:tc>
        <w:tc>
          <w:tcPr>
            <w:tcW w:type="dxa" w:w="5669"/>
          </w:tcPr>
          <w:p>
            <w:r/>
            <w:r>
              <w:rPr>
                <w:rFonts w:ascii="Aptos" w:hAnsi="Aptos"/>
                <w:sz w:val="18"/>
              </w:rPr>
              <w:t>Aggregate exceeding 5% of NTA</w:t>
            </w:r>
          </w:p>
        </w:tc>
      </w:tr>
      <w:tr>
        <w:tc>
          <w:tcPr>
            <w:tcW w:type="dxa" w:w="3969"/>
          </w:tcPr>
          <w:p>
            <w:r/>
            <w:r>
              <w:rPr>
                <w:rFonts w:ascii="Aptos" w:hAnsi="Aptos"/>
                <w:sz w:val="18"/>
              </w:rPr>
              <w:t>Whistleblowing investigations involving senior executives</w:t>
            </w:r>
          </w:p>
        </w:tc>
        <w:tc>
          <w:tcPr>
            <w:tcW w:type="dxa" w:w="5669"/>
          </w:tcPr>
          <w:p>
            <w:r/>
            <w:r>
              <w:rPr>
                <w:rFonts w:ascii="Aptos" w:hAnsi="Aptos"/>
                <w:sz w:val="18"/>
              </w:rPr>
              <w:t>All cases</w:t>
            </w:r>
          </w:p>
        </w:tc>
      </w:tr>
    </w:tbl>
    <w:p>
      <w:pPr>
        <w:spacing w:after="120" w:line="276" w:lineRule="auto"/>
      </w:pPr>
      <w:r>
        <w:rPr>
          <w:rFonts w:ascii="Aptos" w:hAnsi="Aptos"/>
          <w:b/>
          <w:i w:val="0"/>
          <w:sz w:val="24"/>
        </w:rPr>
        <w:t>1.6 Annual Board Effectiveness Review</w:t>
      </w:r>
    </w:p>
    <w:p>
      <w:pPr>
        <w:spacing w:after="120" w:line="276" w:lineRule="auto"/>
      </w:pPr>
      <w:r>
        <w:rPr>
          <w:rFonts w:ascii="Aptos" w:hAnsi="Aptos"/>
          <w:b w:val="0"/>
          <w:i w:val="0"/>
          <w:sz w:val="20"/>
        </w:rPr>
        <w:t>A formal annual board-effectiveness review is undertaken, with an external reviewer engaged at least once every three (3) years. The 2024 review (conducted by KPMG Governance Advisory) identified four priority focus areas for FY2025: (i) succession depth for the Group CEO and CFO roles; (ii) climate-risk literacy across the Board; (iii) cybersecurity oversight maturity; and (iv) ESG-linked executive compensation design. Action plans against each are tracked by the Nomination &amp; Remuneration Committee on a quarterly basis.</w:t>
      </w:r>
    </w:p>
    <w:p>
      <w:r>
        <w:br w:type="page"/>
      </w:r>
    </w:p>
    <w:p>
      <w:pPr>
        <w:keepNext/>
        <w:spacing w:before="360" w:after="120"/>
      </w:pPr>
      <w:r>
        <w:rPr>
          <w:rFonts w:ascii="Aptos" w:hAnsi="Aptos"/>
          <w:b/>
          <w:color w:val="1F4E79"/>
          <w:sz w:val="40"/>
        </w:rPr>
        <w:t>2. Code of Ethics &amp; Business Conduct</w:t>
      </w:r>
    </w:p>
    <w:p>
      <w:pPr>
        <w:spacing w:after="120" w:line="276" w:lineRule="auto"/>
      </w:pPr>
      <w:r>
        <w:rPr>
          <w:rFonts w:ascii="Aptos" w:hAnsi="Aptos"/>
          <w:b/>
          <w:i w:val="0"/>
          <w:sz w:val="24"/>
        </w:rPr>
        <w:t>2.1 Standards</w:t>
      </w:r>
    </w:p>
    <w:p>
      <w:pPr>
        <w:spacing w:after="120" w:line="276" w:lineRule="auto"/>
      </w:pPr>
      <w:r>
        <w:rPr>
          <w:rFonts w:ascii="Aptos" w:hAnsi="Aptos"/>
          <w:b w:val="0"/>
          <w:i w:val="0"/>
          <w:sz w:val="20"/>
        </w:rPr>
        <w:t>All Zava Group employees, officers, Directors, contractors and authorised representatives ("Personnel") shall conduct themselves with integrity, fairness, respect and accountability. The standards in this Code are non-negotiable and apply globally without exception.</w:t>
      </w:r>
    </w:p>
    <w:p>
      <w:pPr>
        <w:spacing w:after="120" w:line="276" w:lineRule="auto"/>
      </w:pPr>
      <w:r>
        <w:rPr>
          <w:rFonts w:ascii="Aptos" w:hAnsi="Aptos"/>
          <w:b/>
          <w:i w:val="0"/>
          <w:sz w:val="24"/>
        </w:rPr>
        <w:t>2.2 Anti-Bribery &amp; Corruption</w:t>
      </w:r>
    </w:p>
    <w:p>
      <w:pPr>
        <w:spacing w:after="120" w:line="276" w:lineRule="auto"/>
      </w:pPr>
      <w:r>
        <w:rPr>
          <w:rFonts w:ascii="Aptos" w:hAnsi="Aptos"/>
          <w:b w:val="0"/>
          <w:i w:val="0"/>
          <w:sz w:val="20"/>
        </w:rPr>
        <w:t>Zava Group operates a strict zero-tolerance policy against bribery and corruption, in compliance with the Malaysian Anti-Corruption Commission Act 2009 (MACC Act, including Section 17A on corporate liability), the Indonesian Law No. 20/2001 on Corruption Eradication, the UK Bribery Act 2010 (extra-territorial), and the US Foreign Corrupt Practices Act (FCPA).</w:t>
      </w:r>
    </w:p>
    <w:p>
      <w:pPr>
        <w:spacing w:after="120" w:line="276" w:lineRule="auto"/>
      </w:pPr>
      <w:r>
        <w:rPr>
          <w:rFonts w:ascii="Aptos" w:hAnsi="Aptos"/>
          <w:b w:val="0"/>
          <w:i w:val="0"/>
          <w:sz w:val="20"/>
        </w:rPr>
        <w:t>Personnel shall not, directly or indirectly:</w:t>
      </w:r>
    </w:p>
    <w:p>
      <w:pPr>
        <w:pStyle w:val="ListBullet"/>
        <w:spacing w:after="60"/>
      </w:pPr>
      <w:r>
        <w:rPr>
          <w:rFonts w:ascii="Aptos" w:hAnsi="Aptos"/>
          <w:sz w:val="20"/>
        </w:rPr>
        <w:t>Offer, promise, give, demand or accept any financial or other advantage to or from any person, public official or commercial counterparty in connection with Zava Group business;</w:t>
      </w:r>
    </w:p>
    <w:p>
      <w:pPr>
        <w:pStyle w:val="ListBullet"/>
        <w:spacing w:after="60"/>
      </w:pPr>
      <w:r>
        <w:rPr>
          <w:rFonts w:ascii="Aptos" w:hAnsi="Aptos"/>
          <w:sz w:val="20"/>
        </w:rPr>
        <w:t>Engage in facilitation payments, regardless of local custom or practice;</w:t>
      </w:r>
    </w:p>
    <w:p>
      <w:pPr>
        <w:pStyle w:val="ListBullet"/>
        <w:spacing w:after="60"/>
      </w:pPr>
      <w:r>
        <w:rPr>
          <w:rFonts w:ascii="Aptos" w:hAnsi="Aptos"/>
          <w:sz w:val="20"/>
        </w:rPr>
        <w:t>Use cash or off-the-books accounts for any business transaction;</w:t>
      </w:r>
    </w:p>
    <w:p>
      <w:pPr>
        <w:pStyle w:val="ListBullet"/>
        <w:spacing w:after="60"/>
      </w:pPr>
      <w:r>
        <w:rPr>
          <w:rFonts w:ascii="Aptos" w:hAnsi="Aptos"/>
          <w:sz w:val="20"/>
        </w:rPr>
        <w:t>Make political donations on behalf of the Group without prior approval of the Board;</w:t>
      </w:r>
    </w:p>
    <w:p>
      <w:pPr>
        <w:pStyle w:val="ListBullet"/>
        <w:spacing w:after="60"/>
      </w:pPr>
      <w:r>
        <w:rPr>
          <w:rFonts w:ascii="Aptos" w:hAnsi="Aptos"/>
          <w:sz w:val="20"/>
        </w:rPr>
        <w:t>Provide gifts, hospitality or entertainment exceeding the thresholds in §2.3.</w:t>
      </w:r>
    </w:p>
    <w:p>
      <w:pPr>
        <w:spacing w:after="120" w:line="276" w:lineRule="auto"/>
      </w:pPr>
      <w:r>
        <w:rPr>
          <w:rFonts w:ascii="Aptos" w:hAnsi="Aptos"/>
          <w:b/>
          <w:i w:val="0"/>
          <w:sz w:val="24"/>
        </w:rPr>
        <w:t>2.3 Gifts, Hospitality &amp; Entertainment Threshold Matrix</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551"/>
            <w:shd w:val="clear" w:color="auto" w:fill="1F4E79"/>
          </w:tcPr>
          <w:p>
            <w:r/>
            <w:r>
              <w:rPr>
                <w:rFonts w:ascii="Aptos" w:hAnsi="Aptos"/>
                <w:b/>
                <w:color w:val="FFFFFF"/>
                <w:sz w:val="20"/>
              </w:rPr>
              <w:t>Counterparty Type</w:t>
            </w:r>
          </w:p>
        </w:tc>
        <w:tc>
          <w:tcPr>
            <w:tcW w:type="dxa" w:w="1417"/>
            <w:shd w:val="clear" w:color="auto" w:fill="1F4E79"/>
          </w:tcPr>
          <w:p>
            <w:r/>
            <w:r>
              <w:rPr>
                <w:rFonts w:ascii="Aptos" w:hAnsi="Aptos"/>
                <w:b/>
                <w:color w:val="FFFFFF"/>
                <w:sz w:val="20"/>
              </w:rPr>
              <w:t>Single-event Gift</w:t>
            </w:r>
          </w:p>
        </w:tc>
        <w:tc>
          <w:tcPr>
            <w:tcW w:type="dxa" w:w="1701"/>
            <w:shd w:val="clear" w:color="auto" w:fill="1F4E79"/>
          </w:tcPr>
          <w:p>
            <w:r/>
            <w:r>
              <w:rPr>
                <w:rFonts w:ascii="Aptos" w:hAnsi="Aptos"/>
                <w:b/>
                <w:color w:val="FFFFFF"/>
                <w:sz w:val="20"/>
              </w:rPr>
              <w:t>Single-event Hospitality</w:t>
            </w:r>
          </w:p>
        </w:tc>
        <w:tc>
          <w:tcPr>
            <w:tcW w:type="dxa" w:w="1701"/>
            <w:shd w:val="clear" w:color="auto" w:fill="1F4E79"/>
          </w:tcPr>
          <w:p>
            <w:r/>
            <w:r>
              <w:rPr>
                <w:rFonts w:ascii="Aptos" w:hAnsi="Aptos"/>
                <w:b/>
                <w:color w:val="FFFFFF"/>
                <w:sz w:val="20"/>
              </w:rPr>
              <w:t>Annual Cumulative</w:t>
            </w:r>
          </w:p>
        </w:tc>
        <w:tc>
          <w:tcPr>
            <w:tcW w:type="dxa" w:w="1984"/>
            <w:shd w:val="clear" w:color="auto" w:fill="1F4E79"/>
          </w:tcPr>
          <w:p>
            <w:r/>
            <w:r>
              <w:rPr>
                <w:rFonts w:ascii="Aptos" w:hAnsi="Aptos"/>
                <w:b/>
                <w:color w:val="FFFFFF"/>
                <w:sz w:val="20"/>
              </w:rPr>
              <w:t>Pre-approval required</w:t>
            </w:r>
          </w:p>
        </w:tc>
      </w:tr>
      <w:tr>
        <w:tc>
          <w:tcPr>
            <w:tcW w:type="dxa" w:w="2551"/>
          </w:tcPr>
          <w:p>
            <w:r/>
            <w:r>
              <w:rPr>
                <w:rFonts w:ascii="Aptos" w:hAnsi="Aptos"/>
                <w:sz w:val="18"/>
              </w:rPr>
              <w:t>Public official (any country)</w:t>
            </w:r>
          </w:p>
        </w:tc>
        <w:tc>
          <w:tcPr>
            <w:tcW w:type="dxa" w:w="1417"/>
          </w:tcPr>
          <w:p>
            <w:r/>
            <w:r>
              <w:rPr>
                <w:rFonts w:ascii="Aptos" w:hAnsi="Aptos"/>
                <w:sz w:val="18"/>
              </w:rPr>
              <w:t>MYR 0</w:t>
            </w:r>
          </w:p>
        </w:tc>
        <w:tc>
          <w:tcPr>
            <w:tcW w:type="dxa" w:w="1701"/>
          </w:tcPr>
          <w:p>
            <w:r/>
            <w:r>
              <w:rPr>
                <w:rFonts w:ascii="Aptos" w:hAnsi="Aptos"/>
                <w:sz w:val="18"/>
              </w:rPr>
              <w:t>MYR 0</w:t>
            </w:r>
          </w:p>
        </w:tc>
        <w:tc>
          <w:tcPr>
            <w:tcW w:type="dxa" w:w="1701"/>
          </w:tcPr>
          <w:p>
            <w:r/>
            <w:r>
              <w:rPr>
                <w:rFonts w:ascii="Aptos" w:hAnsi="Aptos"/>
                <w:sz w:val="18"/>
              </w:rPr>
              <w:t>MYR 0</w:t>
            </w:r>
          </w:p>
        </w:tc>
        <w:tc>
          <w:tcPr>
            <w:tcW w:type="dxa" w:w="1984"/>
          </w:tcPr>
          <w:p>
            <w:r/>
            <w:r>
              <w:rPr>
                <w:rFonts w:ascii="Aptos" w:hAnsi="Aptos"/>
                <w:sz w:val="18"/>
              </w:rPr>
              <w:t>PROHIBITED — escalate to GC</w:t>
            </w:r>
          </w:p>
        </w:tc>
      </w:tr>
      <w:tr>
        <w:tc>
          <w:tcPr>
            <w:tcW w:type="dxa" w:w="2551"/>
          </w:tcPr>
          <w:p>
            <w:r/>
            <w:r>
              <w:rPr>
                <w:rFonts w:ascii="Aptos" w:hAnsi="Aptos"/>
                <w:sz w:val="18"/>
              </w:rPr>
              <w:t>Regulator under active engagement</w:t>
            </w:r>
          </w:p>
        </w:tc>
        <w:tc>
          <w:tcPr>
            <w:tcW w:type="dxa" w:w="1417"/>
          </w:tcPr>
          <w:p>
            <w:r/>
            <w:r>
              <w:rPr>
                <w:rFonts w:ascii="Aptos" w:hAnsi="Aptos"/>
                <w:sz w:val="18"/>
              </w:rPr>
              <w:t>MYR 0</w:t>
            </w:r>
          </w:p>
        </w:tc>
        <w:tc>
          <w:tcPr>
            <w:tcW w:type="dxa" w:w="1701"/>
          </w:tcPr>
          <w:p>
            <w:r/>
            <w:r>
              <w:rPr>
                <w:rFonts w:ascii="Aptos" w:hAnsi="Aptos"/>
                <w:sz w:val="18"/>
              </w:rPr>
              <w:t>MYR 200 (light meal only)</w:t>
            </w:r>
          </w:p>
        </w:tc>
        <w:tc>
          <w:tcPr>
            <w:tcW w:type="dxa" w:w="1701"/>
          </w:tcPr>
          <w:p>
            <w:r/>
            <w:r>
              <w:rPr>
                <w:rFonts w:ascii="Aptos" w:hAnsi="Aptos"/>
                <w:sz w:val="18"/>
              </w:rPr>
              <w:t>MYR 200</w:t>
            </w:r>
          </w:p>
        </w:tc>
        <w:tc>
          <w:tcPr>
            <w:tcW w:type="dxa" w:w="1984"/>
          </w:tcPr>
          <w:p>
            <w:r/>
            <w:r>
              <w:rPr>
                <w:rFonts w:ascii="Aptos" w:hAnsi="Aptos"/>
                <w:sz w:val="18"/>
              </w:rPr>
              <w:t>Yes — Compliance</w:t>
            </w:r>
          </w:p>
        </w:tc>
      </w:tr>
      <w:tr>
        <w:tc>
          <w:tcPr>
            <w:tcW w:type="dxa" w:w="2551"/>
          </w:tcPr>
          <w:p>
            <w:r/>
            <w:r>
              <w:rPr>
                <w:rFonts w:ascii="Aptos" w:hAnsi="Aptos"/>
                <w:sz w:val="18"/>
              </w:rPr>
              <w:t>Commercial supplier (active tender)</w:t>
            </w:r>
          </w:p>
        </w:tc>
        <w:tc>
          <w:tcPr>
            <w:tcW w:type="dxa" w:w="1417"/>
          </w:tcPr>
          <w:p>
            <w:r/>
            <w:r>
              <w:rPr>
                <w:rFonts w:ascii="Aptos" w:hAnsi="Aptos"/>
                <w:sz w:val="18"/>
              </w:rPr>
              <w:t>MYR 0</w:t>
            </w:r>
          </w:p>
        </w:tc>
        <w:tc>
          <w:tcPr>
            <w:tcW w:type="dxa" w:w="1701"/>
          </w:tcPr>
          <w:p>
            <w:r/>
            <w:r>
              <w:rPr>
                <w:rFonts w:ascii="Aptos" w:hAnsi="Aptos"/>
                <w:sz w:val="18"/>
              </w:rPr>
              <w:t>MYR 0</w:t>
            </w:r>
          </w:p>
        </w:tc>
        <w:tc>
          <w:tcPr>
            <w:tcW w:type="dxa" w:w="1701"/>
          </w:tcPr>
          <w:p>
            <w:r/>
            <w:r>
              <w:rPr>
                <w:rFonts w:ascii="Aptos" w:hAnsi="Aptos"/>
                <w:sz w:val="18"/>
              </w:rPr>
              <w:t>MYR 0</w:t>
            </w:r>
          </w:p>
        </w:tc>
        <w:tc>
          <w:tcPr>
            <w:tcW w:type="dxa" w:w="1984"/>
          </w:tcPr>
          <w:p>
            <w:r/>
            <w:r>
              <w:rPr>
                <w:rFonts w:ascii="Aptos" w:hAnsi="Aptos"/>
                <w:sz w:val="18"/>
              </w:rPr>
              <w:t>PROHIBITED</w:t>
            </w:r>
          </w:p>
        </w:tc>
      </w:tr>
      <w:tr>
        <w:tc>
          <w:tcPr>
            <w:tcW w:type="dxa" w:w="2551"/>
          </w:tcPr>
          <w:p>
            <w:r/>
            <w:r>
              <w:rPr>
                <w:rFonts w:ascii="Aptos" w:hAnsi="Aptos"/>
                <w:sz w:val="18"/>
              </w:rPr>
              <w:t>Commercial supplier (BAU)</w:t>
            </w:r>
          </w:p>
        </w:tc>
        <w:tc>
          <w:tcPr>
            <w:tcW w:type="dxa" w:w="1417"/>
          </w:tcPr>
          <w:p>
            <w:r/>
            <w:r>
              <w:rPr>
                <w:rFonts w:ascii="Aptos" w:hAnsi="Aptos"/>
                <w:sz w:val="18"/>
              </w:rPr>
              <w:t>MYR 200</w:t>
            </w:r>
          </w:p>
        </w:tc>
        <w:tc>
          <w:tcPr>
            <w:tcW w:type="dxa" w:w="1701"/>
          </w:tcPr>
          <w:p>
            <w:r/>
            <w:r>
              <w:rPr>
                <w:rFonts w:ascii="Aptos" w:hAnsi="Aptos"/>
                <w:sz w:val="18"/>
              </w:rPr>
              <w:t>MYR 500</w:t>
            </w:r>
          </w:p>
        </w:tc>
        <w:tc>
          <w:tcPr>
            <w:tcW w:type="dxa" w:w="1701"/>
          </w:tcPr>
          <w:p>
            <w:r/>
            <w:r>
              <w:rPr>
                <w:rFonts w:ascii="Aptos" w:hAnsi="Aptos"/>
                <w:sz w:val="18"/>
              </w:rPr>
              <w:t>MYR 1,500</w:t>
            </w:r>
          </w:p>
        </w:tc>
        <w:tc>
          <w:tcPr>
            <w:tcW w:type="dxa" w:w="1984"/>
          </w:tcPr>
          <w:p>
            <w:r/>
            <w:r>
              <w:rPr>
                <w:rFonts w:ascii="Aptos" w:hAnsi="Aptos"/>
                <w:sz w:val="18"/>
              </w:rPr>
              <w:t>Above threshold — Line Manager</w:t>
            </w:r>
          </w:p>
        </w:tc>
      </w:tr>
      <w:tr>
        <w:tc>
          <w:tcPr>
            <w:tcW w:type="dxa" w:w="2551"/>
          </w:tcPr>
          <w:p>
            <w:r/>
            <w:r>
              <w:rPr>
                <w:rFonts w:ascii="Aptos" w:hAnsi="Aptos"/>
                <w:sz w:val="18"/>
              </w:rPr>
              <w:t>Customer (private sector)</w:t>
            </w:r>
          </w:p>
        </w:tc>
        <w:tc>
          <w:tcPr>
            <w:tcW w:type="dxa" w:w="1417"/>
          </w:tcPr>
          <w:p>
            <w:r/>
            <w:r>
              <w:rPr>
                <w:rFonts w:ascii="Aptos" w:hAnsi="Aptos"/>
                <w:sz w:val="18"/>
              </w:rPr>
              <w:t>MYR 500</w:t>
            </w:r>
          </w:p>
        </w:tc>
        <w:tc>
          <w:tcPr>
            <w:tcW w:type="dxa" w:w="1701"/>
          </w:tcPr>
          <w:p>
            <w:r/>
            <w:r>
              <w:rPr>
                <w:rFonts w:ascii="Aptos" w:hAnsi="Aptos"/>
                <w:sz w:val="18"/>
              </w:rPr>
              <w:t>MYR 1,500</w:t>
            </w:r>
          </w:p>
        </w:tc>
        <w:tc>
          <w:tcPr>
            <w:tcW w:type="dxa" w:w="1701"/>
          </w:tcPr>
          <w:p>
            <w:r/>
            <w:r>
              <w:rPr>
                <w:rFonts w:ascii="Aptos" w:hAnsi="Aptos"/>
                <w:sz w:val="18"/>
              </w:rPr>
              <w:t>MYR 5,000</w:t>
            </w:r>
          </w:p>
        </w:tc>
        <w:tc>
          <w:tcPr>
            <w:tcW w:type="dxa" w:w="1984"/>
          </w:tcPr>
          <w:p>
            <w:r/>
            <w:r>
              <w:rPr>
                <w:rFonts w:ascii="Aptos" w:hAnsi="Aptos"/>
                <w:sz w:val="18"/>
              </w:rPr>
              <w:t>Above threshold — Line Manager</w:t>
            </w:r>
          </w:p>
        </w:tc>
      </w:tr>
      <w:tr>
        <w:tc>
          <w:tcPr>
            <w:tcW w:type="dxa" w:w="2551"/>
          </w:tcPr>
          <w:p>
            <w:r/>
            <w:r>
              <w:rPr>
                <w:rFonts w:ascii="Aptos" w:hAnsi="Aptos"/>
                <w:sz w:val="18"/>
              </w:rPr>
              <w:t>Industry association / community</w:t>
            </w:r>
          </w:p>
        </w:tc>
        <w:tc>
          <w:tcPr>
            <w:tcW w:type="dxa" w:w="1417"/>
          </w:tcPr>
          <w:p>
            <w:r/>
            <w:r>
              <w:rPr>
                <w:rFonts w:ascii="Aptos" w:hAnsi="Aptos"/>
                <w:sz w:val="18"/>
              </w:rPr>
              <w:t>MYR 250</w:t>
            </w:r>
          </w:p>
        </w:tc>
        <w:tc>
          <w:tcPr>
            <w:tcW w:type="dxa" w:w="1701"/>
          </w:tcPr>
          <w:p>
            <w:r/>
            <w:r>
              <w:rPr>
                <w:rFonts w:ascii="Aptos" w:hAnsi="Aptos"/>
                <w:sz w:val="18"/>
              </w:rPr>
              <w:t>MYR 750</w:t>
            </w:r>
          </w:p>
        </w:tc>
        <w:tc>
          <w:tcPr>
            <w:tcW w:type="dxa" w:w="1701"/>
          </w:tcPr>
          <w:p>
            <w:r/>
            <w:r>
              <w:rPr>
                <w:rFonts w:ascii="Aptos" w:hAnsi="Aptos"/>
                <w:sz w:val="18"/>
              </w:rPr>
              <w:t>MYR 2,000</w:t>
            </w:r>
          </w:p>
        </w:tc>
        <w:tc>
          <w:tcPr>
            <w:tcW w:type="dxa" w:w="1984"/>
          </w:tcPr>
          <w:p>
            <w:r/>
            <w:r>
              <w:rPr>
                <w:rFonts w:ascii="Aptos" w:hAnsi="Aptos"/>
                <w:sz w:val="18"/>
              </w:rPr>
              <w:t>Above threshold — Line Manager</w:t>
            </w:r>
          </w:p>
        </w:tc>
      </w:tr>
    </w:tbl>
    <w:p>
      <w:pPr>
        <w:spacing w:after="120" w:line="276" w:lineRule="auto"/>
      </w:pPr>
      <w:r>
        <w:rPr>
          <w:rFonts w:ascii="Aptos" w:hAnsi="Aptos"/>
          <w:b w:val="0"/>
          <w:i w:val="0"/>
          <w:sz w:val="20"/>
        </w:rPr>
        <w:t>All gifts and hospitality, regardless of value, shall be logged in the Group Gifts &amp; Hospitality Register within five (5) business days of the event, via the Compliance Portal.</w:t>
      </w:r>
    </w:p>
    <w:p>
      <w:pPr>
        <w:spacing w:after="120" w:line="276" w:lineRule="auto"/>
      </w:pPr>
      <w:r>
        <w:rPr>
          <w:rFonts w:ascii="Aptos" w:hAnsi="Aptos"/>
          <w:b/>
          <w:i w:val="0"/>
          <w:sz w:val="24"/>
        </w:rPr>
        <w:t>2.4 Conflicts of Interest</w:t>
      </w:r>
    </w:p>
    <w:p>
      <w:pPr>
        <w:spacing w:after="120" w:line="276" w:lineRule="auto"/>
      </w:pPr>
      <w:r>
        <w:rPr>
          <w:rFonts w:ascii="Aptos" w:hAnsi="Aptos"/>
          <w:b w:val="0"/>
          <w:i w:val="0"/>
          <w:sz w:val="20"/>
        </w:rPr>
        <w:t>Personnel must declare any actual, potential or perceived conflict of interest on engagement and annually thereafter (or sooner if circumstances change). Examples include: family members in supplier or customer organisations; directorships in unrelated businesses; private investments in companies with which Zava Group transacts; secondary employment or consulting arrangements.</w:t>
      </w:r>
    </w:p>
    <w:p>
      <w:pPr>
        <w:spacing w:after="120" w:line="276" w:lineRule="auto"/>
      </w:pPr>
      <w:r>
        <w:rPr>
          <w:rFonts w:ascii="Aptos" w:hAnsi="Aptos"/>
          <w:b/>
          <w:i w:val="0"/>
          <w:sz w:val="24"/>
        </w:rPr>
        <w:t>2.5 Whistleblowing &amp; Speak-up</w:t>
      </w:r>
    </w:p>
    <w:p>
      <w:pPr>
        <w:spacing w:after="120" w:line="276" w:lineRule="auto"/>
      </w:pPr>
      <w:r>
        <w:rPr>
          <w:rFonts w:ascii="Aptos" w:hAnsi="Aptos"/>
          <w:b w:val="0"/>
          <w:i w:val="0"/>
          <w:sz w:val="20"/>
        </w:rPr>
        <w:t>Zava Group operates an independent Speak-Up channel administered by Deloitte Forensic, accessible 24/7 in English, Bahasa Malaysia, Bahasa Indonesia, Mandarin, Tamil, Thai, Vietnamese and Tagalog. Reports may be submitted anonymously. Retaliation against any person making a good-faith report is itself a serious disciplinary offence and a criminal offence under the Malaysian Whistleblower Protection Act 2010 and equivalent ID/SG/VN/TH/PH legislation.</w:t>
      </w:r>
    </w:p>
    <w:p>
      <w:pPr>
        <w:spacing w:after="120" w:line="276" w:lineRule="auto"/>
      </w:pPr>
      <w:r>
        <w:rPr>
          <w:rFonts w:ascii="Aptos" w:hAnsi="Aptos"/>
          <w:b w:val="0"/>
          <w:i w:val="0"/>
          <w:sz w:val="20"/>
        </w:rPr>
        <w:t>Speak-Up channel: speakup.zava.com | +603-2200-0911 (MY) | +6221-2922-0911 (ID) | speakup@zava.com</w:t>
      </w:r>
    </w:p>
    <w:p>
      <w:pPr>
        <w:spacing w:after="120" w:line="276" w:lineRule="auto"/>
      </w:pPr>
      <w:r>
        <w:rPr>
          <w:rFonts w:ascii="Aptos" w:hAnsi="Aptos"/>
          <w:b/>
          <w:i w:val="0"/>
          <w:sz w:val="24"/>
        </w:rPr>
        <w:t>2.6 Sanctions, Trade Compliance &amp; Export Controls</w:t>
      </w:r>
    </w:p>
    <w:p>
      <w:pPr>
        <w:spacing w:after="120" w:line="276" w:lineRule="auto"/>
      </w:pPr>
      <w:r>
        <w:rPr>
          <w:rFonts w:ascii="Aptos" w:hAnsi="Aptos"/>
          <w:b w:val="0"/>
          <w:i w:val="0"/>
          <w:sz w:val="20"/>
        </w:rPr>
        <w:t>Zava Group complies with applicable sanctions regimes including UN Security Council, EU, OFAC, HMT and ASEAN-specific designations. The Sanctions Compliance Programme covers customer screening, supplier screening, dual-use goods classification, end-use certification, and a quarterly sanctions-list refresh across all transactional systems via the Group Refinitiv World-Check feed.</w:t>
      </w:r>
    </w:p>
    <w:p>
      <w:pPr>
        <w:spacing w:after="120" w:line="276" w:lineRule="auto"/>
      </w:pPr>
      <w:r>
        <w:rPr>
          <w:rFonts w:ascii="Aptos" w:hAnsi="Aptos"/>
          <w:b/>
          <w:i w:val="0"/>
          <w:sz w:val="24"/>
        </w:rPr>
        <w:t>2.7 Disciplinary Consequences</w:t>
      </w:r>
    </w:p>
    <w:p>
      <w:pPr>
        <w:spacing w:after="120" w:line="276" w:lineRule="auto"/>
      </w:pPr>
      <w:r>
        <w:rPr>
          <w:rFonts w:ascii="Aptos" w:hAnsi="Aptos"/>
          <w:b w:val="0"/>
          <w:i w:val="0"/>
          <w:sz w:val="20"/>
        </w:rPr>
        <w:t>Breaches of this Code attract disciplinary action up to and including termination of employment, civil recovery of losses, and criminal referral. Senior management breaches are reported to the Audit &amp; Risk Committee.</w:t>
      </w:r>
    </w:p>
    <w:p>
      <w:r>
        <w:br w:type="page"/>
      </w:r>
    </w:p>
    <w:p>
      <w:pPr>
        <w:keepNext/>
        <w:spacing w:before="360" w:after="120"/>
      </w:pPr>
      <w:r>
        <w:rPr>
          <w:rFonts w:ascii="Aptos" w:hAnsi="Aptos"/>
          <w:b/>
          <w:color w:val="1F4E79"/>
          <w:sz w:val="40"/>
        </w:rPr>
        <w:t>3. Human Resources Policy</w:t>
      </w:r>
    </w:p>
    <w:p>
      <w:pPr>
        <w:spacing w:after="120" w:line="276" w:lineRule="auto"/>
      </w:pPr>
      <w:r>
        <w:rPr>
          <w:rFonts w:ascii="Aptos" w:hAnsi="Aptos"/>
          <w:b/>
          <w:i w:val="0"/>
          <w:sz w:val="24"/>
        </w:rPr>
        <w:t>3.1 Recruitment &amp; Onboarding</w:t>
      </w:r>
    </w:p>
    <w:p>
      <w:pPr>
        <w:spacing w:after="120" w:line="276" w:lineRule="auto"/>
      </w:pPr>
      <w:r>
        <w:rPr>
          <w:rFonts w:ascii="Aptos" w:hAnsi="Aptos"/>
          <w:b w:val="0"/>
          <w:i w:val="0"/>
          <w:sz w:val="20"/>
        </w:rPr>
        <w:t>Recruitment shall be conducted on the basis of merit, qualification and fit for role, free from discrimination on the basis of race, religion, gender, age, disability, marital status, sexual orientation or political affiliation. All Group recruitment uses the Workday Recruiting platform and is subject to the four-eyes principle (recruiter + hiring manager) at offer stage.</w:t>
      </w:r>
    </w:p>
    <w:p>
      <w:pPr>
        <w:spacing w:after="120" w:line="276" w:lineRule="auto"/>
      </w:pPr>
      <w:r>
        <w:rPr>
          <w:rFonts w:ascii="Aptos" w:hAnsi="Aptos"/>
          <w:b/>
          <w:i w:val="0"/>
          <w:sz w:val="24"/>
        </w:rPr>
        <w:t>3.2 Compensation &amp; Benefits Framework</w:t>
      </w:r>
    </w:p>
    <w:p>
      <w:pPr>
        <w:spacing w:after="120" w:line="276" w:lineRule="auto"/>
      </w:pPr>
      <w:r>
        <w:rPr>
          <w:rFonts w:ascii="Aptos" w:hAnsi="Aptos"/>
          <w:b w:val="0"/>
          <w:i w:val="0"/>
          <w:sz w:val="20"/>
        </w:rPr>
        <w:t>Compensation comprises:</w:t>
      </w:r>
    </w:p>
    <w:p>
      <w:pPr>
        <w:pStyle w:val="ListBullet"/>
        <w:spacing w:after="60"/>
      </w:pPr>
      <w:r>
        <w:rPr>
          <w:rFonts w:ascii="Aptos" w:hAnsi="Aptos"/>
          <w:sz w:val="20"/>
        </w:rPr>
        <w:t>Fixed: base salary, contractual allowances, statutory contributions (EPF/SOCSO/EIS for MY; BPJS for ID; CPF for SG)</w:t>
      </w:r>
    </w:p>
    <w:p>
      <w:pPr>
        <w:pStyle w:val="ListBullet"/>
        <w:spacing w:after="60"/>
      </w:pPr>
      <w:r>
        <w:rPr>
          <w:rFonts w:ascii="Aptos" w:hAnsi="Aptos"/>
          <w:sz w:val="20"/>
        </w:rPr>
        <w:t>Variable short-term: annual bonus tied to Group, Division and Individual KPIs (typically 8-25% of base for non-executives, up to 100% for senior executives)</w:t>
      </w:r>
    </w:p>
    <w:p>
      <w:pPr>
        <w:pStyle w:val="ListBullet"/>
        <w:spacing w:after="60"/>
      </w:pPr>
      <w:r>
        <w:rPr>
          <w:rFonts w:ascii="Aptos" w:hAnsi="Aptos"/>
          <w:sz w:val="20"/>
        </w:rPr>
        <w:t>Variable long-term: Restricted Share Units (RSUs) and Performance Share Units (PSUs) for Job Grade JG7+ with 3-year vesting and ESG-linked performance modifier (15% weight)</w:t>
      </w:r>
    </w:p>
    <w:p>
      <w:pPr>
        <w:pStyle w:val="ListBullet"/>
        <w:spacing w:after="60"/>
      </w:pPr>
      <w:r>
        <w:rPr>
          <w:rFonts w:ascii="Aptos" w:hAnsi="Aptos"/>
          <w:sz w:val="20"/>
        </w:rPr>
        <w:t>Benefits: medical (incl. spouse + 4 children), dental, optical, GTL/GHS insurance, parental leave (16 weeks maternity, 4 weeks paternity), bereavement, study assistance, retirement preparation programme</w:t>
      </w:r>
    </w:p>
    <w:p>
      <w:pPr>
        <w:spacing w:after="120" w:line="276" w:lineRule="auto"/>
      </w:pPr>
      <w:r>
        <w:rPr>
          <w:rFonts w:ascii="Aptos" w:hAnsi="Aptos"/>
          <w:b/>
          <w:i w:val="0"/>
          <w:sz w:val="24"/>
        </w:rPr>
        <w:t>3.3 Pay Equity &amp; Gender Pay Gap</w:t>
      </w:r>
    </w:p>
    <w:p>
      <w:pPr>
        <w:spacing w:after="120" w:line="276" w:lineRule="auto"/>
      </w:pPr>
      <w:r>
        <w:rPr>
          <w:rFonts w:ascii="Aptos" w:hAnsi="Aptos"/>
          <w:b w:val="0"/>
          <w:i w:val="0"/>
          <w:sz w:val="20"/>
        </w:rPr>
        <w:t>Group conducts an annual pay-equity audit using Mercer methodology. The FY2024 audit closed the unadjusted gender pay gap to 4.1% (from 6.8% in FY2022). Adjusted gap (controlling for grade, function, geography, tenure) was 0.7%. Target FY2027: unadjusted gap &lt; 2%.</w:t>
      </w:r>
    </w:p>
    <w:p>
      <w:pPr>
        <w:spacing w:after="120" w:line="276" w:lineRule="auto"/>
      </w:pPr>
      <w:r>
        <w:rPr>
          <w:rFonts w:ascii="Aptos" w:hAnsi="Aptos"/>
          <w:b/>
          <w:i w:val="0"/>
          <w:sz w:val="24"/>
        </w:rPr>
        <w:t>3.4 Performance Management</w:t>
      </w:r>
    </w:p>
    <w:p>
      <w:pPr>
        <w:spacing w:after="120" w:line="276" w:lineRule="auto"/>
      </w:pPr>
      <w:r>
        <w:rPr>
          <w:rFonts w:ascii="Aptos" w:hAnsi="Aptos"/>
          <w:b w:val="0"/>
          <w:i w:val="0"/>
          <w:sz w:val="20"/>
        </w:rPr>
        <w:t>Annual performance is assessed against:</w:t>
      </w:r>
    </w:p>
    <w:p>
      <w:pPr>
        <w:pStyle w:val="ListBullet"/>
        <w:spacing w:after="60"/>
      </w:pPr>
      <w:r>
        <w:rPr>
          <w:rFonts w:ascii="Aptos" w:hAnsi="Aptos"/>
          <w:sz w:val="20"/>
        </w:rPr>
        <w:t>Objectives &amp; Key Results (50%) — set in October, reviewed at March mid-year, finalised in September</w:t>
      </w:r>
    </w:p>
    <w:p>
      <w:pPr>
        <w:pStyle w:val="ListBullet"/>
        <w:spacing w:after="60"/>
      </w:pPr>
      <w:r>
        <w:rPr>
          <w:rFonts w:ascii="Aptos" w:hAnsi="Aptos"/>
          <w:sz w:val="20"/>
        </w:rPr>
        <w:t>Behaviours against Zava Values (30%) — Care, Courage, Collaboration, Curiosity</w:t>
      </w:r>
    </w:p>
    <w:p>
      <w:pPr>
        <w:pStyle w:val="ListBullet"/>
        <w:spacing w:after="60"/>
      </w:pPr>
      <w:r>
        <w:rPr>
          <w:rFonts w:ascii="Aptos" w:hAnsi="Aptos"/>
          <w:sz w:val="20"/>
        </w:rPr>
        <w:t>Stakeholder feedback (20%) — 360-degree input for JG6+; manager and peer feedback for JG5 and below</w:t>
      </w:r>
    </w:p>
    <w:p>
      <w:pPr>
        <w:spacing w:after="120" w:line="276" w:lineRule="auto"/>
      </w:pPr>
      <w:r>
        <w:rPr>
          <w:rFonts w:ascii="Aptos" w:hAnsi="Aptos"/>
          <w:b w:val="0"/>
          <w:i w:val="0"/>
          <w:sz w:val="20"/>
        </w:rPr>
        <w:t>Performance is calibrated by Function-level Talent Review, then Group People Committee. Forced ranking is not applied; distributions are guided but not enforced.</w:t>
      </w:r>
    </w:p>
    <w:p>
      <w:pPr>
        <w:spacing w:after="120" w:line="276" w:lineRule="auto"/>
      </w:pPr>
      <w:r>
        <w:rPr>
          <w:rFonts w:ascii="Aptos" w:hAnsi="Aptos"/>
          <w:b/>
          <w:i w:val="0"/>
          <w:sz w:val="24"/>
        </w:rPr>
        <w:t>3.5 Talent Development</w:t>
      </w:r>
    </w:p>
    <w:p>
      <w:pPr>
        <w:spacing w:after="120" w:line="276" w:lineRule="auto"/>
      </w:pPr>
      <w:r>
        <w:rPr>
          <w:rFonts w:ascii="Aptos" w:hAnsi="Aptos"/>
          <w:b w:val="0"/>
          <w:i w:val="0"/>
          <w:sz w:val="20"/>
        </w:rPr>
        <w:t>All Personnel are entitled to a minimum 40 hours of formal learning per annum. The Zava Academy operates four schools: Leadership, Functional Excellence, Digital &amp; Data, and ESG. Senior leaders (JG7+) are required to undertake an executive development programme (e.g., INSEAD AMP, Wharton Advanced Management) within 18 months of appointment.</w:t>
      </w:r>
    </w:p>
    <w:p>
      <w:pPr>
        <w:spacing w:after="120" w:line="276" w:lineRule="auto"/>
      </w:pPr>
      <w:r>
        <w:rPr>
          <w:rFonts w:ascii="Aptos" w:hAnsi="Aptos"/>
          <w:b/>
          <w:i w:val="0"/>
          <w:sz w:val="24"/>
        </w:rPr>
        <w:t>3.6 Diversity, Equity &amp; Inclusion</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2835"/>
            <w:shd w:val="clear" w:color="auto" w:fill="1F4E79"/>
          </w:tcPr>
          <w:p>
            <w:r/>
            <w:r>
              <w:rPr>
                <w:rFonts w:ascii="Aptos" w:hAnsi="Aptos"/>
                <w:b/>
                <w:color w:val="FFFFFF"/>
                <w:sz w:val="20"/>
              </w:rPr>
              <w:t>DEI Metric</w:t>
            </w:r>
          </w:p>
        </w:tc>
        <w:tc>
          <w:tcPr>
            <w:tcW w:type="dxa" w:w="1020"/>
            <w:shd w:val="clear" w:color="auto" w:fill="1F4E79"/>
          </w:tcPr>
          <w:p>
            <w:r/>
            <w:r>
              <w:rPr>
                <w:rFonts w:ascii="Aptos" w:hAnsi="Aptos"/>
                <w:b/>
                <w:color w:val="FFFFFF"/>
                <w:sz w:val="20"/>
              </w:rPr>
              <w:t>FY2022</w:t>
            </w:r>
          </w:p>
        </w:tc>
        <w:tc>
          <w:tcPr>
            <w:tcW w:type="dxa" w:w="1020"/>
            <w:shd w:val="clear" w:color="auto" w:fill="1F4E79"/>
          </w:tcPr>
          <w:p>
            <w:r/>
            <w:r>
              <w:rPr>
                <w:rFonts w:ascii="Aptos" w:hAnsi="Aptos"/>
                <w:b/>
                <w:color w:val="FFFFFF"/>
                <w:sz w:val="20"/>
              </w:rPr>
              <w:t>FY2023</w:t>
            </w:r>
          </w:p>
        </w:tc>
        <w:tc>
          <w:tcPr>
            <w:tcW w:type="dxa" w:w="1020"/>
            <w:shd w:val="clear" w:color="auto" w:fill="1F4E79"/>
          </w:tcPr>
          <w:p>
            <w:r/>
            <w:r>
              <w:rPr>
                <w:rFonts w:ascii="Aptos" w:hAnsi="Aptos"/>
                <w:b/>
                <w:color w:val="FFFFFF"/>
                <w:sz w:val="20"/>
              </w:rPr>
              <w:t>FY2024</w:t>
            </w:r>
          </w:p>
        </w:tc>
        <w:tc>
          <w:tcPr>
            <w:tcW w:type="dxa" w:w="1361"/>
            <w:shd w:val="clear" w:color="auto" w:fill="1F4E79"/>
          </w:tcPr>
          <w:p>
            <w:r/>
            <w:r>
              <w:rPr>
                <w:rFonts w:ascii="Aptos" w:hAnsi="Aptos"/>
                <w:b/>
                <w:color w:val="FFFFFF"/>
                <w:sz w:val="20"/>
              </w:rPr>
              <w:t>FY2025 Target</w:t>
            </w:r>
          </w:p>
        </w:tc>
        <w:tc>
          <w:tcPr>
            <w:tcW w:type="dxa" w:w="1531"/>
            <w:shd w:val="clear" w:color="auto" w:fill="1F4E79"/>
          </w:tcPr>
          <w:p>
            <w:r/>
            <w:r>
              <w:rPr>
                <w:rFonts w:ascii="Aptos" w:hAnsi="Aptos"/>
                <w:b/>
                <w:color w:val="FFFFFF"/>
                <w:sz w:val="20"/>
              </w:rPr>
              <w:t>FY2027 Aspiration</w:t>
            </w:r>
          </w:p>
        </w:tc>
      </w:tr>
      <w:tr>
        <w:tc>
          <w:tcPr>
            <w:tcW w:type="dxa" w:w="2835"/>
          </w:tcPr>
          <w:p>
            <w:r/>
            <w:r>
              <w:rPr>
                <w:rFonts w:ascii="Aptos" w:hAnsi="Aptos"/>
                <w:sz w:val="18"/>
              </w:rPr>
              <w:t>% Women in workforce (Group)</w:t>
            </w:r>
          </w:p>
        </w:tc>
        <w:tc>
          <w:tcPr>
            <w:tcW w:type="dxa" w:w="1020"/>
          </w:tcPr>
          <w:p>
            <w:r/>
            <w:r>
              <w:rPr>
                <w:rFonts w:ascii="Aptos" w:hAnsi="Aptos"/>
                <w:sz w:val="18"/>
              </w:rPr>
              <w:t>38.4%</w:t>
            </w:r>
          </w:p>
        </w:tc>
        <w:tc>
          <w:tcPr>
            <w:tcW w:type="dxa" w:w="1020"/>
          </w:tcPr>
          <w:p>
            <w:r/>
            <w:r>
              <w:rPr>
                <w:rFonts w:ascii="Aptos" w:hAnsi="Aptos"/>
                <w:sz w:val="18"/>
              </w:rPr>
              <w:t>40.1%</w:t>
            </w:r>
          </w:p>
        </w:tc>
        <w:tc>
          <w:tcPr>
            <w:tcW w:type="dxa" w:w="1020"/>
          </w:tcPr>
          <w:p>
            <w:r/>
            <w:r>
              <w:rPr>
                <w:rFonts w:ascii="Aptos" w:hAnsi="Aptos"/>
                <w:sz w:val="18"/>
              </w:rPr>
              <w:t>41.7%</w:t>
            </w:r>
          </w:p>
        </w:tc>
        <w:tc>
          <w:tcPr>
            <w:tcW w:type="dxa" w:w="1361"/>
          </w:tcPr>
          <w:p>
            <w:r/>
            <w:r>
              <w:rPr>
                <w:rFonts w:ascii="Aptos" w:hAnsi="Aptos"/>
                <w:sz w:val="18"/>
              </w:rPr>
              <w:t>43.0%</w:t>
            </w:r>
          </w:p>
        </w:tc>
        <w:tc>
          <w:tcPr>
            <w:tcW w:type="dxa" w:w="1531"/>
          </w:tcPr>
          <w:p>
            <w:r/>
            <w:r>
              <w:rPr>
                <w:rFonts w:ascii="Aptos" w:hAnsi="Aptos"/>
                <w:sz w:val="18"/>
              </w:rPr>
              <w:t>45.0%</w:t>
            </w:r>
          </w:p>
        </w:tc>
      </w:tr>
      <w:tr>
        <w:tc>
          <w:tcPr>
            <w:tcW w:type="dxa" w:w="2835"/>
          </w:tcPr>
          <w:p>
            <w:r/>
            <w:r>
              <w:rPr>
                <w:rFonts w:ascii="Aptos" w:hAnsi="Aptos"/>
                <w:sz w:val="18"/>
              </w:rPr>
              <w:t>% Women in management (JG6+)</w:t>
            </w:r>
          </w:p>
        </w:tc>
        <w:tc>
          <w:tcPr>
            <w:tcW w:type="dxa" w:w="1020"/>
          </w:tcPr>
          <w:p>
            <w:r/>
            <w:r>
              <w:rPr>
                <w:rFonts w:ascii="Aptos" w:hAnsi="Aptos"/>
                <w:sz w:val="18"/>
              </w:rPr>
              <w:t>24.1%</w:t>
            </w:r>
          </w:p>
        </w:tc>
        <w:tc>
          <w:tcPr>
            <w:tcW w:type="dxa" w:w="1020"/>
          </w:tcPr>
          <w:p>
            <w:r/>
            <w:r>
              <w:rPr>
                <w:rFonts w:ascii="Aptos" w:hAnsi="Aptos"/>
                <w:sz w:val="18"/>
              </w:rPr>
              <w:t>26.7%</w:t>
            </w:r>
          </w:p>
        </w:tc>
        <w:tc>
          <w:tcPr>
            <w:tcW w:type="dxa" w:w="1020"/>
          </w:tcPr>
          <w:p>
            <w:r/>
            <w:r>
              <w:rPr>
                <w:rFonts w:ascii="Aptos" w:hAnsi="Aptos"/>
                <w:sz w:val="18"/>
              </w:rPr>
              <w:t>28.4%</w:t>
            </w:r>
          </w:p>
        </w:tc>
        <w:tc>
          <w:tcPr>
            <w:tcW w:type="dxa" w:w="1361"/>
          </w:tcPr>
          <w:p>
            <w:r/>
            <w:r>
              <w:rPr>
                <w:rFonts w:ascii="Aptos" w:hAnsi="Aptos"/>
                <w:sz w:val="18"/>
              </w:rPr>
              <w:t>32.0%</w:t>
            </w:r>
          </w:p>
        </w:tc>
        <w:tc>
          <w:tcPr>
            <w:tcW w:type="dxa" w:w="1531"/>
          </w:tcPr>
          <w:p>
            <w:r/>
            <w:r>
              <w:rPr>
                <w:rFonts w:ascii="Aptos" w:hAnsi="Aptos"/>
                <w:sz w:val="18"/>
              </w:rPr>
              <w:t>40.0%</w:t>
            </w:r>
          </w:p>
        </w:tc>
      </w:tr>
      <w:tr>
        <w:tc>
          <w:tcPr>
            <w:tcW w:type="dxa" w:w="2835"/>
          </w:tcPr>
          <w:p>
            <w:r/>
            <w:r>
              <w:rPr>
                <w:rFonts w:ascii="Aptos" w:hAnsi="Aptos"/>
                <w:sz w:val="18"/>
              </w:rPr>
              <w:t>% Women on Board</w:t>
            </w:r>
          </w:p>
        </w:tc>
        <w:tc>
          <w:tcPr>
            <w:tcW w:type="dxa" w:w="1020"/>
          </w:tcPr>
          <w:p>
            <w:r/>
            <w:r>
              <w:rPr>
                <w:rFonts w:ascii="Aptos" w:hAnsi="Aptos"/>
                <w:sz w:val="18"/>
              </w:rPr>
              <w:t>22.2%</w:t>
            </w:r>
          </w:p>
        </w:tc>
        <w:tc>
          <w:tcPr>
            <w:tcW w:type="dxa" w:w="1020"/>
          </w:tcPr>
          <w:p>
            <w:r/>
            <w:r>
              <w:rPr>
                <w:rFonts w:ascii="Aptos" w:hAnsi="Aptos"/>
                <w:sz w:val="18"/>
              </w:rPr>
              <w:t>22.2%</w:t>
            </w:r>
          </w:p>
        </w:tc>
        <w:tc>
          <w:tcPr>
            <w:tcW w:type="dxa" w:w="1020"/>
          </w:tcPr>
          <w:p>
            <w:r/>
            <w:r>
              <w:rPr>
                <w:rFonts w:ascii="Aptos" w:hAnsi="Aptos"/>
                <w:sz w:val="18"/>
              </w:rPr>
              <w:t>33.3%</w:t>
            </w:r>
          </w:p>
        </w:tc>
        <w:tc>
          <w:tcPr>
            <w:tcW w:type="dxa" w:w="1361"/>
          </w:tcPr>
          <w:p>
            <w:r/>
            <w:r>
              <w:rPr>
                <w:rFonts w:ascii="Aptos" w:hAnsi="Aptos"/>
                <w:sz w:val="18"/>
              </w:rPr>
              <w:t>33.3%</w:t>
            </w:r>
          </w:p>
        </w:tc>
        <w:tc>
          <w:tcPr>
            <w:tcW w:type="dxa" w:w="1531"/>
          </w:tcPr>
          <w:p>
            <w:r/>
            <w:r>
              <w:rPr>
                <w:rFonts w:ascii="Aptos" w:hAnsi="Aptos"/>
                <w:sz w:val="18"/>
              </w:rPr>
              <w:t>40.0%</w:t>
            </w:r>
          </w:p>
        </w:tc>
      </w:tr>
      <w:tr>
        <w:tc>
          <w:tcPr>
            <w:tcW w:type="dxa" w:w="2835"/>
          </w:tcPr>
          <w:p>
            <w:r/>
            <w:r>
              <w:rPr>
                <w:rFonts w:ascii="Aptos" w:hAnsi="Aptos"/>
                <w:sz w:val="18"/>
              </w:rPr>
              <w:t>Persons with disability</w:t>
            </w:r>
          </w:p>
        </w:tc>
        <w:tc>
          <w:tcPr>
            <w:tcW w:type="dxa" w:w="1020"/>
          </w:tcPr>
          <w:p>
            <w:r/>
            <w:r>
              <w:rPr>
                <w:rFonts w:ascii="Aptos" w:hAnsi="Aptos"/>
                <w:sz w:val="18"/>
              </w:rPr>
              <w:t>0.4%</w:t>
            </w:r>
          </w:p>
        </w:tc>
        <w:tc>
          <w:tcPr>
            <w:tcW w:type="dxa" w:w="1020"/>
          </w:tcPr>
          <w:p>
            <w:r/>
            <w:r>
              <w:rPr>
                <w:rFonts w:ascii="Aptos" w:hAnsi="Aptos"/>
                <w:sz w:val="18"/>
              </w:rPr>
              <w:t>0.6%</w:t>
            </w:r>
          </w:p>
        </w:tc>
        <w:tc>
          <w:tcPr>
            <w:tcW w:type="dxa" w:w="1020"/>
          </w:tcPr>
          <w:p>
            <w:r/>
            <w:r>
              <w:rPr>
                <w:rFonts w:ascii="Aptos" w:hAnsi="Aptos"/>
                <w:sz w:val="18"/>
              </w:rPr>
              <w:t>0.8%</w:t>
            </w:r>
          </w:p>
        </w:tc>
        <w:tc>
          <w:tcPr>
            <w:tcW w:type="dxa" w:w="1361"/>
          </w:tcPr>
          <w:p>
            <w:r/>
            <w:r>
              <w:rPr>
                <w:rFonts w:ascii="Aptos" w:hAnsi="Aptos"/>
                <w:sz w:val="18"/>
              </w:rPr>
              <w:t>1.2%</w:t>
            </w:r>
          </w:p>
        </w:tc>
        <w:tc>
          <w:tcPr>
            <w:tcW w:type="dxa" w:w="1531"/>
          </w:tcPr>
          <w:p>
            <w:r/>
            <w:r>
              <w:rPr>
                <w:rFonts w:ascii="Aptos" w:hAnsi="Aptos"/>
                <w:sz w:val="18"/>
              </w:rPr>
              <w:t>2.0%</w:t>
            </w:r>
          </w:p>
        </w:tc>
      </w:tr>
      <w:tr>
        <w:tc>
          <w:tcPr>
            <w:tcW w:type="dxa" w:w="2835"/>
          </w:tcPr>
          <w:p>
            <w:r/>
            <w:r>
              <w:rPr>
                <w:rFonts w:ascii="Aptos" w:hAnsi="Aptos"/>
                <w:sz w:val="18"/>
              </w:rPr>
              <w:t>Indigenous / Bumiputera (MY)</w:t>
            </w:r>
          </w:p>
        </w:tc>
        <w:tc>
          <w:tcPr>
            <w:tcW w:type="dxa" w:w="1020"/>
          </w:tcPr>
          <w:p>
            <w:r/>
            <w:r>
              <w:rPr>
                <w:rFonts w:ascii="Aptos" w:hAnsi="Aptos"/>
                <w:sz w:val="18"/>
              </w:rPr>
              <w:t>52.1%</w:t>
            </w:r>
          </w:p>
        </w:tc>
        <w:tc>
          <w:tcPr>
            <w:tcW w:type="dxa" w:w="1020"/>
          </w:tcPr>
          <w:p>
            <w:r/>
            <w:r>
              <w:rPr>
                <w:rFonts w:ascii="Aptos" w:hAnsi="Aptos"/>
                <w:sz w:val="18"/>
              </w:rPr>
              <w:t>52.8%</w:t>
            </w:r>
          </w:p>
        </w:tc>
        <w:tc>
          <w:tcPr>
            <w:tcW w:type="dxa" w:w="1020"/>
          </w:tcPr>
          <w:p>
            <w:r/>
            <w:r>
              <w:rPr>
                <w:rFonts w:ascii="Aptos" w:hAnsi="Aptos"/>
                <w:sz w:val="18"/>
              </w:rPr>
              <w:t>53.4%</w:t>
            </w:r>
          </w:p>
        </w:tc>
        <w:tc>
          <w:tcPr>
            <w:tcW w:type="dxa" w:w="1361"/>
          </w:tcPr>
          <w:p>
            <w:r/>
            <w:r>
              <w:rPr>
                <w:rFonts w:ascii="Aptos" w:hAnsi="Aptos"/>
                <w:sz w:val="18"/>
              </w:rPr>
              <w:t>54.0%</w:t>
            </w:r>
          </w:p>
        </w:tc>
        <w:tc>
          <w:tcPr>
            <w:tcW w:type="dxa" w:w="1531"/>
          </w:tcPr>
          <w:p>
            <w:r/>
            <w:r>
              <w:rPr>
                <w:rFonts w:ascii="Aptos" w:hAnsi="Aptos"/>
                <w:sz w:val="18"/>
              </w:rPr>
              <w:t>Maintain</w:t>
            </w:r>
          </w:p>
        </w:tc>
      </w:tr>
      <w:tr>
        <w:tc>
          <w:tcPr>
            <w:tcW w:type="dxa" w:w="2835"/>
          </w:tcPr>
          <w:p>
            <w:r/>
            <w:r>
              <w:rPr>
                <w:rFonts w:ascii="Aptos" w:hAnsi="Aptos"/>
                <w:sz w:val="18"/>
              </w:rPr>
              <w:t>Local nationals in Sr Mgmt (each ASEAN country)</w:t>
            </w:r>
          </w:p>
        </w:tc>
        <w:tc>
          <w:tcPr>
            <w:tcW w:type="dxa" w:w="1020"/>
          </w:tcPr>
          <w:p>
            <w:r/>
            <w:r>
              <w:rPr>
                <w:rFonts w:ascii="Aptos" w:hAnsi="Aptos"/>
                <w:sz w:val="18"/>
              </w:rPr>
              <w:t>67%</w:t>
            </w:r>
          </w:p>
        </w:tc>
        <w:tc>
          <w:tcPr>
            <w:tcW w:type="dxa" w:w="1020"/>
          </w:tcPr>
          <w:p>
            <w:r/>
            <w:r>
              <w:rPr>
                <w:rFonts w:ascii="Aptos" w:hAnsi="Aptos"/>
                <w:sz w:val="18"/>
              </w:rPr>
              <w:t>71%</w:t>
            </w:r>
          </w:p>
        </w:tc>
        <w:tc>
          <w:tcPr>
            <w:tcW w:type="dxa" w:w="1020"/>
          </w:tcPr>
          <w:p>
            <w:r/>
            <w:r>
              <w:rPr>
                <w:rFonts w:ascii="Aptos" w:hAnsi="Aptos"/>
                <w:sz w:val="18"/>
              </w:rPr>
              <w:t>74%</w:t>
            </w:r>
          </w:p>
        </w:tc>
        <w:tc>
          <w:tcPr>
            <w:tcW w:type="dxa" w:w="1361"/>
          </w:tcPr>
          <w:p>
            <w:r/>
            <w:r>
              <w:rPr>
                <w:rFonts w:ascii="Aptos" w:hAnsi="Aptos"/>
                <w:sz w:val="18"/>
              </w:rPr>
              <w:t>78%</w:t>
            </w:r>
          </w:p>
        </w:tc>
        <w:tc>
          <w:tcPr>
            <w:tcW w:type="dxa" w:w="1531"/>
          </w:tcPr>
          <w:p>
            <w:r/>
            <w:r>
              <w:rPr>
                <w:rFonts w:ascii="Aptos" w:hAnsi="Aptos"/>
                <w:sz w:val="18"/>
              </w:rPr>
              <w:t>&gt; 80%</w:t>
            </w:r>
          </w:p>
        </w:tc>
      </w:tr>
    </w:tbl>
    <w:p>
      <w:pPr>
        <w:spacing w:after="120" w:line="276" w:lineRule="auto"/>
      </w:pPr>
      <w:r>
        <w:rPr>
          <w:rFonts w:ascii="Aptos" w:hAnsi="Aptos"/>
          <w:b/>
          <w:i w:val="0"/>
          <w:sz w:val="24"/>
        </w:rPr>
        <w:t>3.7 Grievance &amp; Disciplinary</w:t>
      </w:r>
    </w:p>
    <w:p>
      <w:pPr>
        <w:spacing w:after="120" w:line="276" w:lineRule="auto"/>
      </w:pPr>
      <w:r>
        <w:rPr>
          <w:rFonts w:ascii="Aptos" w:hAnsi="Aptos"/>
          <w:b w:val="0"/>
          <w:i w:val="0"/>
          <w:sz w:val="20"/>
        </w:rPr>
        <w:t>A formal grievance may be raised with the Line Manager, HR Business Partner, Division Head of HR, or Group Chief Human Resources Officer. Grievances must be acknowledged within five (5) business days and concluded within thirty (30) business days. Disciplinary action follows a four-stage process: verbal warning, written warning, final written warning, and termination — with a domestic inquiry preceding any termination for misconduct.</w:t>
      </w:r>
    </w:p>
    <w:p>
      <w:pPr>
        <w:spacing w:after="120" w:line="276" w:lineRule="auto"/>
      </w:pPr>
      <w:r>
        <w:rPr>
          <w:rFonts w:ascii="Aptos" w:hAnsi="Aptos"/>
          <w:b/>
          <w:i w:val="0"/>
          <w:sz w:val="24"/>
        </w:rPr>
        <w:t>3.8 Workplace Wellbeing</w:t>
      </w:r>
    </w:p>
    <w:p>
      <w:pPr>
        <w:spacing w:after="120" w:line="276" w:lineRule="auto"/>
      </w:pPr>
      <w:r>
        <w:rPr>
          <w:rFonts w:ascii="Aptos" w:hAnsi="Aptos"/>
          <w:b w:val="0"/>
          <w:i w:val="0"/>
          <w:sz w:val="20"/>
        </w:rPr>
        <w:t>The Group provides 24/7 access to the EAP (Employee Assistance Programme) via Lyra Health, covering up to twelve (12) sessions of confidential counselling per employee per annum, plus extended support for severe mental-health conditions as clinically indicated. Workload sustainability is monitored via the quarterly Pulse Survey, with red-flag teams escalated to Division CEOs.</w:t>
      </w:r>
    </w:p>
    <w:p>
      <w:r>
        <w:br w:type="page"/>
      </w:r>
    </w:p>
    <w:p>
      <w:pPr>
        <w:keepNext/>
        <w:spacing w:before="360" w:after="120"/>
      </w:pPr>
      <w:r>
        <w:rPr>
          <w:rFonts w:ascii="Aptos" w:hAnsi="Aptos"/>
          <w:b/>
          <w:color w:val="1F4E79"/>
          <w:sz w:val="40"/>
        </w:rPr>
        <w:t>4. Financial Governance &amp; Delegation of Authority</w:t>
      </w:r>
    </w:p>
    <w:p>
      <w:pPr>
        <w:spacing w:after="120" w:line="276" w:lineRule="auto"/>
      </w:pPr>
      <w:r>
        <w:rPr>
          <w:rFonts w:ascii="Aptos" w:hAnsi="Aptos"/>
          <w:b/>
          <w:i w:val="0"/>
          <w:sz w:val="24"/>
        </w:rPr>
        <w:t>4.1 Approval Authority Matrix (excerpt — full version in Appendix A)</w:t>
      </w:r>
    </w:p>
    <w:tbl>
      <w:tblPr>
        <w:tblStyle w:val="LightGrid-Accent1"/>
        <w:tblW w:type="auto" w:w="0"/>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1701"/>
            <w:shd w:val="clear" w:color="auto" w:fill="1F4E79"/>
          </w:tcPr>
          <w:p>
            <w:r/>
            <w:r>
              <w:rPr>
                <w:rFonts w:ascii="Aptos" w:hAnsi="Aptos"/>
                <w:b/>
                <w:color w:val="FFFFFF"/>
                <w:sz w:val="20"/>
              </w:rPr>
              <w:t>Decision Type</w:t>
            </w:r>
          </w:p>
        </w:tc>
        <w:tc>
          <w:tcPr>
            <w:tcW w:type="dxa" w:w="567"/>
            <w:shd w:val="clear" w:color="auto" w:fill="1F4E79"/>
          </w:tcPr>
          <w:p>
            <w:r/>
            <w:r>
              <w:rPr>
                <w:rFonts w:ascii="Aptos" w:hAnsi="Aptos"/>
                <w:b/>
                <w:color w:val="FFFFFF"/>
                <w:sz w:val="20"/>
              </w:rPr>
              <w:t>JG5/Mgr</w:t>
            </w:r>
          </w:p>
        </w:tc>
        <w:tc>
          <w:tcPr>
            <w:tcW w:type="dxa" w:w="680"/>
            <w:shd w:val="clear" w:color="auto" w:fill="1F4E79"/>
          </w:tcPr>
          <w:p>
            <w:r/>
            <w:r>
              <w:rPr>
                <w:rFonts w:ascii="Aptos" w:hAnsi="Aptos"/>
                <w:b/>
                <w:color w:val="FFFFFF"/>
                <w:sz w:val="20"/>
              </w:rPr>
              <w:t>JG6/Snr Mgr</w:t>
            </w:r>
          </w:p>
        </w:tc>
        <w:tc>
          <w:tcPr>
            <w:tcW w:type="dxa" w:w="567"/>
            <w:shd w:val="clear" w:color="auto" w:fill="1F4E79"/>
          </w:tcPr>
          <w:p>
            <w:r/>
            <w:r>
              <w:rPr>
                <w:rFonts w:ascii="Aptos" w:hAnsi="Aptos"/>
                <w:b/>
                <w:color w:val="FFFFFF"/>
                <w:sz w:val="20"/>
              </w:rPr>
              <w:t>JG7/AGM</w:t>
            </w:r>
          </w:p>
        </w:tc>
        <w:tc>
          <w:tcPr>
            <w:tcW w:type="dxa" w:w="567"/>
            <w:shd w:val="clear" w:color="auto" w:fill="1F4E79"/>
          </w:tcPr>
          <w:p>
            <w:r/>
            <w:r>
              <w:rPr>
                <w:rFonts w:ascii="Aptos" w:hAnsi="Aptos"/>
                <w:b/>
                <w:color w:val="FFFFFF"/>
                <w:sz w:val="20"/>
              </w:rPr>
              <w:t>JG8/GM</w:t>
            </w:r>
          </w:p>
        </w:tc>
        <w:tc>
          <w:tcPr>
            <w:tcW w:type="dxa" w:w="680"/>
            <w:shd w:val="clear" w:color="auto" w:fill="1F4E79"/>
          </w:tcPr>
          <w:p>
            <w:r/>
            <w:r>
              <w:rPr>
                <w:rFonts w:ascii="Aptos" w:hAnsi="Aptos"/>
                <w:b/>
                <w:color w:val="FFFFFF"/>
                <w:sz w:val="20"/>
              </w:rPr>
              <w:t>Div CFO</w:t>
            </w:r>
          </w:p>
        </w:tc>
        <w:tc>
          <w:tcPr>
            <w:tcW w:type="dxa" w:w="680"/>
            <w:shd w:val="clear" w:color="auto" w:fill="1F4E79"/>
          </w:tcPr>
          <w:p>
            <w:r/>
            <w:r>
              <w:rPr>
                <w:rFonts w:ascii="Aptos" w:hAnsi="Aptos"/>
                <w:b/>
                <w:color w:val="FFFFFF"/>
                <w:sz w:val="20"/>
              </w:rPr>
              <w:t>Div CEO</w:t>
            </w:r>
          </w:p>
        </w:tc>
        <w:tc>
          <w:tcPr>
            <w:tcW w:type="dxa" w:w="794"/>
            <w:shd w:val="clear" w:color="auto" w:fill="1F4E79"/>
          </w:tcPr>
          <w:p>
            <w:r/>
            <w:r>
              <w:rPr>
                <w:rFonts w:ascii="Aptos" w:hAnsi="Aptos"/>
                <w:b/>
                <w:color w:val="FFFFFF"/>
                <w:sz w:val="20"/>
              </w:rPr>
              <w:t>Group CFO</w:t>
            </w:r>
          </w:p>
        </w:tc>
        <w:tc>
          <w:tcPr>
            <w:tcW w:type="dxa" w:w="794"/>
            <w:shd w:val="clear" w:color="auto" w:fill="1F4E79"/>
          </w:tcPr>
          <w:p>
            <w:r/>
            <w:r>
              <w:rPr>
                <w:rFonts w:ascii="Aptos" w:hAnsi="Aptos"/>
                <w:b/>
                <w:color w:val="FFFFFF"/>
                <w:sz w:val="20"/>
              </w:rPr>
              <w:t>Group CEO</w:t>
            </w:r>
          </w:p>
        </w:tc>
        <w:tc>
          <w:tcPr>
            <w:tcW w:type="dxa" w:w="794"/>
            <w:shd w:val="clear" w:color="auto" w:fill="1F4E79"/>
          </w:tcPr>
          <w:p>
            <w:r/>
            <w:r>
              <w:rPr>
                <w:rFonts w:ascii="Aptos" w:hAnsi="Aptos"/>
                <w:b/>
                <w:color w:val="FFFFFF"/>
                <w:sz w:val="20"/>
              </w:rPr>
              <w:t>Inv. Cmte</w:t>
            </w:r>
          </w:p>
        </w:tc>
        <w:tc>
          <w:tcPr>
            <w:tcW w:type="dxa" w:w="794"/>
            <w:shd w:val="clear" w:color="auto" w:fill="1F4E79"/>
          </w:tcPr>
          <w:p>
            <w:r/>
            <w:r>
              <w:rPr>
                <w:rFonts w:ascii="Aptos" w:hAnsi="Aptos"/>
                <w:b/>
                <w:color w:val="FFFFFF"/>
                <w:sz w:val="20"/>
              </w:rPr>
              <w:t>Board</w:t>
            </w:r>
          </w:p>
        </w:tc>
      </w:tr>
      <w:tr>
        <w:tc>
          <w:tcPr>
            <w:tcW w:type="dxa" w:w="1701"/>
          </w:tcPr>
          <w:p>
            <w:r/>
            <w:r>
              <w:rPr>
                <w:rFonts w:ascii="Aptos" w:hAnsi="Aptos"/>
                <w:sz w:val="18"/>
              </w:rPr>
              <w:t>Operating expenditure</w:t>
            </w:r>
          </w:p>
        </w:tc>
        <w:tc>
          <w:tcPr>
            <w:tcW w:type="dxa" w:w="567"/>
          </w:tcPr>
          <w:p>
            <w:r/>
            <w:r>
              <w:rPr>
                <w:rFonts w:ascii="Aptos" w:hAnsi="Aptos"/>
                <w:sz w:val="18"/>
              </w:rPr>
              <w:t>50K</w:t>
            </w:r>
          </w:p>
        </w:tc>
        <w:tc>
          <w:tcPr>
            <w:tcW w:type="dxa" w:w="680"/>
          </w:tcPr>
          <w:p>
            <w:r/>
            <w:r>
              <w:rPr>
                <w:rFonts w:ascii="Aptos" w:hAnsi="Aptos"/>
                <w:sz w:val="18"/>
              </w:rPr>
              <w:t>250K</w:t>
            </w:r>
          </w:p>
        </w:tc>
        <w:tc>
          <w:tcPr>
            <w:tcW w:type="dxa" w:w="567"/>
          </w:tcPr>
          <w:p>
            <w:r/>
            <w:r>
              <w:rPr>
                <w:rFonts w:ascii="Aptos" w:hAnsi="Aptos"/>
                <w:sz w:val="18"/>
              </w:rPr>
              <w:t>1M</w:t>
            </w:r>
          </w:p>
        </w:tc>
        <w:tc>
          <w:tcPr>
            <w:tcW w:type="dxa" w:w="567"/>
          </w:tcPr>
          <w:p>
            <w:r/>
            <w:r>
              <w:rPr>
                <w:rFonts w:ascii="Aptos" w:hAnsi="Aptos"/>
                <w:sz w:val="18"/>
              </w:rPr>
              <w:t>5M</w:t>
            </w:r>
          </w:p>
        </w:tc>
        <w:tc>
          <w:tcPr>
            <w:tcW w:type="dxa" w:w="680"/>
          </w:tcPr>
          <w:p>
            <w:r/>
            <w:r>
              <w:rPr>
                <w:rFonts w:ascii="Aptos" w:hAnsi="Aptos"/>
                <w:sz w:val="18"/>
              </w:rPr>
              <w:t>15M</w:t>
            </w:r>
          </w:p>
        </w:tc>
        <w:tc>
          <w:tcPr>
            <w:tcW w:type="dxa" w:w="680"/>
          </w:tcPr>
          <w:p>
            <w:r/>
            <w:r>
              <w:rPr>
                <w:rFonts w:ascii="Aptos" w:hAnsi="Aptos"/>
                <w:sz w:val="18"/>
              </w:rPr>
              <w:t>30M</w:t>
            </w:r>
          </w:p>
        </w:tc>
        <w:tc>
          <w:tcPr>
            <w:tcW w:type="dxa" w:w="794"/>
          </w:tcPr>
          <w:p>
            <w:r/>
            <w:r>
              <w:rPr>
                <w:rFonts w:ascii="Aptos" w:hAnsi="Aptos"/>
                <w:sz w:val="18"/>
              </w:rPr>
              <w:t>75M</w:t>
            </w:r>
          </w:p>
        </w:tc>
        <w:tc>
          <w:tcPr>
            <w:tcW w:type="dxa" w:w="794"/>
          </w:tcPr>
          <w:p>
            <w:r/>
            <w:r>
              <w:rPr>
                <w:rFonts w:ascii="Aptos" w:hAnsi="Aptos"/>
                <w:sz w:val="18"/>
              </w:rPr>
              <w:t>150M</w:t>
            </w:r>
          </w:p>
        </w:tc>
        <w:tc>
          <w:tcPr>
            <w:tcW w:type="dxa" w:w="794"/>
          </w:tcPr>
          <w:p>
            <w:r/>
            <w:r>
              <w:rPr>
                <w:rFonts w:ascii="Aptos" w:hAnsi="Aptos"/>
                <w:sz w:val="18"/>
              </w:rPr>
              <w:t>—</w:t>
            </w:r>
          </w:p>
        </w:tc>
        <w:tc>
          <w:tcPr>
            <w:tcW w:type="dxa" w:w="794"/>
          </w:tcPr>
          <w:p>
            <w:r/>
            <w:r>
              <w:rPr>
                <w:rFonts w:ascii="Aptos" w:hAnsi="Aptos"/>
                <w:sz w:val="18"/>
              </w:rPr>
              <w:t>&gt; 250M</w:t>
            </w:r>
          </w:p>
        </w:tc>
      </w:tr>
      <w:tr>
        <w:tc>
          <w:tcPr>
            <w:tcW w:type="dxa" w:w="1701"/>
          </w:tcPr>
          <w:p>
            <w:r/>
            <w:r>
              <w:rPr>
                <w:rFonts w:ascii="Aptos" w:hAnsi="Aptos"/>
                <w:sz w:val="18"/>
              </w:rPr>
              <w:t>Capital expenditure</w:t>
            </w:r>
          </w:p>
        </w:tc>
        <w:tc>
          <w:tcPr>
            <w:tcW w:type="dxa" w:w="567"/>
          </w:tcPr>
          <w:p>
            <w:r/>
            <w:r>
              <w:rPr>
                <w:rFonts w:ascii="Aptos" w:hAnsi="Aptos"/>
                <w:sz w:val="18"/>
              </w:rPr>
              <w:t>—</w:t>
            </w:r>
          </w:p>
        </w:tc>
        <w:tc>
          <w:tcPr>
            <w:tcW w:type="dxa" w:w="680"/>
          </w:tcPr>
          <w:p>
            <w:r/>
            <w:r>
              <w:rPr>
                <w:rFonts w:ascii="Aptos" w:hAnsi="Aptos"/>
                <w:sz w:val="18"/>
              </w:rPr>
              <w:t>100K</w:t>
            </w:r>
          </w:p>
        </w:tc>
        <w:tc>
          <w:tcPr>
            <w:tcW w:type="dxa" w:w="567"/>
          </w:tcPr>
          <w:p>
            <w:r/>
            <w:r>
              <w:rPr>
                <w:rFonts w:ascii="Aptos" w:hAnsi="Aptos"/>
                <w:sz w:val="18"/>
              </w:rPr>
              <w:t>500K</w:t>
            </w:r>
          </w:p>
        </w:tc>
        <w:tc>
          <w:tcPr>
            <w:tcW w:type="dxa" w:w="567"/>
          </w:tcPr>
          <w:p>
            <w:r/>
            <w:r>
              <w:rPr>
                <w:rFonts w:ascii="Aptos" w:hAnsi="Aptos"/>
                <w:sz w:val="18"/>
              </w:rPr>
              <w:t>2M</w:t>
            </w:r>
          </w:p>
        </w:tc>
        <w:tc>
          <w:tcPr>
            <w:tcW w:type="dxa" w:w="680"/>
          </w:tcPr>
          <w:p>
            <w:r/>
            <w:r>
              <w:rPr>
                <w:rFonts w:ascii="Aptos" w:hAnsi="Aptos"/>
                <w:sz w:val="18"/>
              </w:rPr>
              <w:t>8M</w:t>
            </w:r>
          </w:p>
        </w:tc>
        <w:tc>
          <w:tcPr>
            <w:tcW w:type="dxa" w:w="680"/>
          </w:tcPr>
          <w:p>
            <w:r/>
            <w:r>
              <w:rPr>
                <w:rFonts w:ascii="Aptos" w:hAnsi="Aptos"/>
                <w:sz w:val="18"/>
              </w:rPr>
              <w:t>20M</w:t>
            </w:r>
          </w:p>
        </w:tc>
        <w:tc>
          <w:tcPr>
            <w:tcW w:type="dxa" w:w="794"/>
          </w:tcPr>
          <w:p>
            <w:r/>
            <w:r>
              <w:rPr>
                <w:rFonts w:ascii="Aptos" w:hAnsi="Aptos"/>
                <w:sz w:val="18"/>
              </w:rPr>
              <w:t>50M</w:t>
            </w:r>
          </w:p>
        </w:tc>
        <w:tc>
          <w:tcPr>
            <w:tcW w:type="dxa" w:w="794"/>
          </w:tcPr>
          <w:p>
            <w:r/>
            <w:r>
              <w:rPr>
                <w:rFonts w:ascii="Aptos" w:hAnsi="Aptos"/>
                <w:sz w:val="18"/>
              </w:rPr>
              <w:t>100M</w:t>
            </w:r>
          </w:p>
        </w:tc>
        <w:tc>
          <w:tcPr>
            <w:tcW w:type="dxa" w:w="794"/>
          </w:tcPr>
          <w:p>
            <w:r/>
            <w:r>
              <w:rPr>
                <w:rFonts w:ascii="Aptos" w:hAnsi="Aptos"/>
                <w:sz w:val="18"/>
              </w:rPr>
              <w:t>250M</w:t>
            </w:r>
          </w:p>
        </w:tc>
        <w:tc>
          <w:tcPr>
            <w:tcW w:type="dxa" w:w="794"/>
          </w:tcPr>
          <w:p>
            <w:r/>
            <w:r>
              <w:rPr>
                <w:rFonts w:ascii="Aptos" w:hAnsi="Aptos"/>
                <w:sz w:val="18"/>
              </w:rPr>
              <w:t>&gt; 250M</w:t>
            </w:r>
          </w:p>
        </w:tc>
      </w:tr>
      <w:tr>
        <w:tc>
          <w:tcPr>
            <w:tcW w:type="dxa" w:w="1701"/>
          </w:tcPr>
          <w:p>
            <w:r/>
            <w:r>
              <w:rPr>
                <w:rFonts w:ascii="Aptos" w:hAnsi="Aptos"/>
                <w:sz w:val="18"/>
              </w:rPr>
              <w:t>Hiring (annual fixed cost)</w:t>
            </w:r>
          </w:p>
        </w:tc>
        <w:tc>
          <w:tcPr>
            <w:tcW w:type="dxa" w:w="567"/>
          </w:tcPr>
          <w:p>
            <w:r/>
            <w:r>
              <w:rPr>
                <w:rFonts w:ascii="Aptos" w:hAnsi="Aptos"/>
                <w:sz w:val="18"/>
              </w:rPr>
              <w:t>—</w:t>
            </w:r>
          </w:p>
        </w:tc>
        <w:tc>
          <w:tcPr>
            <w:tcW w:type="dxa" w:w="680"/>
          </w:tcPr>
          <w:p>
            <w:r/>
            <w:r>
              <w:rPr>
                <w:rFonts w:ascii="Aptos" w:hAnsi="Aptos"/>
                <w:sz w:val="18"/>
              </w:rPr>
              <w:t>300K</w:t>
            </w:r>
          </w:p>
        </w:tc>
        <w:tc>
          <w:tcPr>
            <w:tcW w:type="dxa" w:w="567"/>
          </w:tcPr>
          <w:p>
            <w:r/>
            <w:r>
              <w:rPr>
                <w:rFonts w:ascii="Aptos" w:hAnsi="Aptos"/>
                <w:sz w:val="18"/>
              </w:rPr>
              <w:t>1M</w:t>
            </w:r>
          </w:p>
        </w:tc>
        <w:tc>
          <w:tcPr>
            <w:tcW w:type="dxa" w:w="567"/>
          </w:tcPr>
          <w:p>
            <w:r/>
            <w:r>
              <w:rPr>
                <w:rFonts w:ascii="Aptos" w:hAnsi="Aptos"/>
                <w:sz w:val="18"/>
              </w:rPr>
              <w:t>3M</w:t>
            </w:r>
          </w:p>
        </w:tc>
        <w:tc>
          <w:tcPr>
            <w:tcW w:type="dxa" w:w="680"/>
          </w:tcPr>
          <w:p>
            <w:r/>
            <w:r>
              <w:rPr>
                <w:rFonts w:ascii="Aptos" w:hAnsi="Aptos"/>
                <w:sz w:val="18"/>
              </w:rPr>
              <w:t>8M</w:t>
            </w:r>
          </w:p>
        </w:tc>
        <w:tc>
          <w:tcPr>
            <w:tcW w:type="dxa" w:w="680"/>
          </w:tcPr>
          <w:p>
            <w:r/>
            <w:r>
              <w:rPr>
                <w:rFonts w:ascii="Aptos" w:hAnsi="Aptos"/>
                <w:sz w:val="18"/>
              </w:rPr>
              <w:t>15M</w:t>
            </w:r>
          </w:p>
        </w:tc>
        <w:tc>
          <w:tcPr>
            <w:tcW w:type="dxa" w:w="794"/>
          </w:tcPr>
          <w:p>
            <w:r/>
            <w:r>
              <w:rPr>
                <w:rFonts w:ascii="Aptos" w:hAnsi="Aptos"/>
                <w:sz w:val="18"/>
              </w:rPr>
              <w:t>40M</w:t>
            </w:r>
          </w:p>
        </w:tc>
        <w:tc>
          <w:tcPr>
            <w:tcW w:type="dxa" w:w="794"/>
          </w:tcPr>
          <w:p>
            <w:r/>
            <w:r>
              <w:rPr>
                <w:rFonts w:ascii="Aptos" w:hAnsi="Aptos"/>
                <w:sz w:val="18"/>
              </w:rPr>
              <w:t>80M</w:t>
            </w:r>
          </w:p>
        </w:tc>
        <w:tc>
          <w:tcPr>
            <w:tcW w:type="dxa" w:w="794"/>
          </w:tcPr>
          <w:p>
            <w:r/>
            <w:r>
              <w:rPr>
                <w:rFonts w:ascii="Aptos" w:hAnsi="Aptos"/>
                <w:sz w:val="18"/>
              </w:rPr>
              <w:t>—</w:t>
            </w:r>
          </w:p>
        </w:tc>
        <w:tc>
          <w:tcPr>
            <w:tcW w:type="dxa" w:w="794"/>
          </w:tcPr>
          <w:p>
            <w:r/>
            <w:r>
              <w:rPr>
                <w:rFonts w:ascii="Aptos" w:hAnsi="Aptos"/>
                <w:sz w:val="18"/>
              </w:rPr>
              <w:t>&gt; 100M</w:t>
            </w:r>
          </w:p>
        </w:tc>
      </w:tr>
      <w:tr>
        <w:tc>
          <w:tcPr>
            <w:tcW w:type="dxa" w:w="1701"/>
          </w:tcPr>
          <w:p>
            <w:r/>
            <w:r>
              <w:rPr>
                <w:rFonts w:ascii="Aptos" w:hAnsi="Aptos"/>
                <w:sz w:val="18"/>
              </w:rPr>
              <w:t>Marketing campaigns</w:t>
            </w:r>
          </w:p>
        </w:tc>
        <w:tc>
          <w:tcPr>
            <w:tcW w:type="dxa" w:w="567"/>
          </w:tcPr>
          <w:p>
            <w:r/>
            <w:r>
              <w:rPr>
                <w:rFonts w:ascii="Aptos" w:hAnsi="Aptos"/>
                <w:sz w:val="18"/>
              </w:rPr>
              <w:t>20K</w:t>
            </w:r>
          </w:p>
        </w:tc>
        <w:tc>
          <w:tcPr>
            <w:tcW w:type="dxa" w:w="680"/>
          </w:tcPr>
          <w:p>
            <w:r/>
            <w:r>
              <w:rPr>
                <w:rFonts w:ascii="Aptos" w:hAnsi="Aptos"/>
                <w:sz w:val="18"/>
              </w:rPr>
              <w:t>100K</w:t>
            </w:r>
          </w:p>
        </w:tc>
        <w:tc>
          <w:tcPr>
            <w:tcW w:type="dxa" w:w="567"/>
          </w:tcPr>
          <w:p>
            <w:r/>
            <w:r>
              <w:rPr>
                <w:rFonts w:ascii="Aptos" w:hAnsi="Aptos"/>
                <w:sz w:val="18"/>
              </w:rPr>
              <w:t>500K</w:t>
            </w:r>
          </w:p>
        </w:tc>
        <w:tc>
          <w:tcPr>
            <w:tcW w:type="dxa" w:w="567"/>
          </w:tcPr>
          <w:p>
            <w:r/>
            <w:r>
              <w:rPr>
                <w:rFonts w:ascii="Aptos" w:hAnsi="Aptos"/>
                <w:sz w:val="18"/>
              </w:rPr>
              <w:t>2M</w:t>
            </w:r>
          </w:p>
        </w:tc>
        <w:tc>
          <w:tcPr>
            <w:tcW w:type="dxa" w:w="680"/>
          </w:tcPr>
          <w:p>
            <w:r/>
            <w:r>
              <w:rPr>
                <w:rFonts w:ascii="Aptos" w:hAnsi="Aptos"/>
                <w:sz w:val="18"/>
              </w:rPr>
              <w:t>5M</w:t>
            </w:r>
          </w:p>
        </w:tc>
        <w:tc>
          <w:tcPr>
            <w:tcW w:type="dxa" w:w="680"/>
          </w:tcPr>
          <w:p>
            <w:r/>
            <w:r>
              <w:rPr>
                <w:rFonts w:ascii="Aptos" w:hAnsi="Aptos"/>
                <w:sz w:val="18"/>
              </w:rPr>
              <w:t>10M</w:t>
            </w:r>
          </w:p>
        </w:tc>
        <w:tc>
          <w:tcPr>
            <w:tcW w:type="dxa" w:w="794"/>
          </w:tcPr>
          <w:p>
            <w:r/>
            <w:r>
              <w:rPr>
                <w:rFonts w:ascii="Aptos" w:hAnsi="Aptos"/>
                <w:sz w:val="18"/>
              </w:rPr>
              <w:t>25M</w:t>
            </w:r>
          </w:p>
        </w:tc>
        <w:tc>
          <w:tcPr>
            <w:tcW w:type="dxa" w:w="794"/>
          </w:tcPr>
          <w:p>
            <w:r/>
            <w:r>
              <w:rPr>
                <w:rFonts w:ascii="Aptos" w:hAnsi="Aptos"/>
                <w:sz w:val="18"/>
              </w:rPr>
              <w:t>50M</w:t>
            </w:r>
          </w:p>
        </w:tc>
        <w:tc>
          <w:tcPr>
            <w:tcW w:type="dxa" w:w="794"/>
          </w:tcPr>
          <w:p>
            <w:r/>
            <w:r>
              <w:rPr>
                <w:rFonts w:ascii="Aptos" w:hAnsi="Aptos"/>
                <w:sz w:val="18"/>
              </w:rPr>
              <w:t>—</w:t>
            </w:r>
          </w:p>
        </w:tc>
        <w:tc>
          <w:tcPr>
            <w:tcW w:type="dxa" w:w="794"/>
          </w:tcPr>
          <w:p>
            <w:r/>
            <w:r>
              <w:rPr>
                <w:rFonts w:ascii="Aptos" w:hAnsi="Aptos"/>
                <w:sz w:val="18"/>
              </w:rPr>
              <w:t>&gt; 75M</w:t>
            </w:r>
          </w:p>
        </w:tc>
      </w:tr>
      <w:tr>
        <w:tc>
          <w:tcPr>
            <w:tcW w:type="dxa" w:w="1701"/>
          </w:tcPr>
          <w:p>
            <w:r/>
            <w:r>
              <w:rPr>
                <w:rFonts w:ascii="Aptos" w:hAnsi="Aptos"/>
                <w:sz w:val="18"/>
              </w:rPr>
              <w:t>Customer credit limit</w:t>
            </w:r>
          </w:p>
        </w:tc>
        <w:tc>
          <w:tcPr>
            <w:tcW w:type="dxa" w:w="567"/>
          </w:tcPr>
          <w:p>
            <w:r/>
            <w:r>
              <w:rPr>
                <w:rFonts w:ascii="Aptos" w:hAnsi="Aptos"/>
                <w:sz w:val="18"/>
              </w:rPr>
              <w:t>—</w:t>
            </w:r>
          </w:p>
        </w:tc>
        <w:tc>
          <w:tcPr>
            <w:tcW w:type="dxa" w:w="680"/>
          </w:tcPr>
          <w:p>
            <w:r/>
            <w:r>
              <w:rPr>
                <w:rFonts w:ascii="Aptos" w:hAnsi="Aptos"/>
                <w:sz w:val="18"/>
              </w:rPr>
              <w:t>500K</w:t>
            </w:r>
          </w:p>
        </w:tc>
        <w:tc>
          <w:tcPr>
            <w:tcW w:type="dxa" w:w="567"/>
          </w:tcPr>
          <w:p>
            <w:r/>
            <w:r>
              <w:rPr>
                <w:rFonts w:ascii="Aptos" w:hAnsi="Aptos"/>
                <w:sz w:val="18"/>
              </w:rPr>
              <w:t>2M</w:t>
            </w:r>
          </w:p>
        </w:tc>
        <w:tc>
          <w:tcPr>
            <w:tcW w:type="dxa" w:w="567"/>
          </w:tcPr>
          <w:p>
            <w:r/>
            <w:r>
              <w:rPr>
                <w:rFonts w:ascii="Aptos" w:hAnsi="Aptos"/>
                <w:sz w:val="18"/>
              </w:rPr>
              <w:t>5M</w:t>
            </w:r>
          </w:p>
        </w:tc>
        <w:tc>
          <w:tcPr>
            <w:tcW w:type="dxa" w:w="680"/>
          </w:tcPr>
          <w:p>
            <w:r/>
            <w:r>
              <w:rPr>
                <w:rFonts w:ascii="Aptos" w:hAnsi="Aptos"/>
                <w:sz w:val="18"/>
              </w:rPr>
              <w:t>15M</w:t>
            </w:r>
          </w:p>
        </w:tc>
        <w:tc>
          <w:tcPr>
            <w:tcW w:type="dxa" w:w="680"/>
          </w:tcPr>
          <w:p>
            <w:r/>
            <w:r>
              <w:rPr>
                <w:rFonts w:ascii="Aptos" w:hAnsi="Aptos"/>
                <w:sz w:val="18"/>
              </w:rPr>
              <w:t>30M</w:t>
            </w:r>
          </w:p>
        </w:tc>
        <w:tc>
          <w:tcPr>
            <w:tcW w:type="dxa" w:w="794"/>
          </w:tcPr>
          <w:p>
            <w:r/>
            <w:r>
              <w:rPr>
                <w:rFonts w:ascii="Aptos" w:hAnsi="Aptos"/>
                <w:sz w:val="18"/>
              </w:rPr>
              <w:t>60M</w:t>
            </w:r>
          </w:p>
        </w:tc>
        <w:tc>
          <w:tcPr>
            <w:tcW w:type="dxa" w:w="794"/>
          </w:tcPr>
          <w:p>
            <w:r/>
            <w:r>
              <w:rPr>
                <w:rFonts w:ascii="Aptos" w:hAnsi="Aptos"/>
                <w:sz w:val="18"/>
              </w:rPr>
              <w:t>100M</w:t>
            </w:r>
          </w:p>
        </w:tc>
        <w:tc>
          <w:tcPr>
            <w:tcW w:type="dxa" w:w="794"/>
          </w:tcPr>
          <w:p>
            <w:r/>
            <w:r>
              <w:rPr>
                <w:rFonts w:ascii="Aptos" w:hAnsi="Aptos"/>
                <w:sz w:val="18"/>
              </w:rPr>
              <w:t>—</w:t>
            </w:r>
          </w:p>
        </w:tc>
        <w:tc>
          <w:tcPr>
            <w:tcW w:type="dxa" w:w="794"/>
          </w:tcPr>
          <w:p>
            <w:r/>
            <w:r>
              <w:rPr>
                <w:rFonts w:ascii="Aptos" w:hAnsi="Aptos"/>
                <w:sz w:val="18"/>
              </w:rPr>
              <w:t>&gt; 150M</w:t>
            </w:r>
          </w:p>
        </w:tc>
      </w:tr>
      <w:tr>
        <w:tc>
          <w:tcPr>
            <w:tcW w:type="dxa" w:w="1701"/>
          </w:tcPr>
          <w:p>
            <w:r/>
            <w:r>
              <w:rPr>
                <w:rFonts w:ascii="Aptos" w:hAnsi="Aptos"/>
                <w:sz w:val="18"/>
              </w:rPr>
              <w:t>Bad debt write-off</w:t>
            </w:r>
          </w:p>
        </w:tc>
        <w:tc>
          <w:tcPr>
            <w:tcW w:type="dxa" w:w="567"/>
          </w:tcPr>
          <w:p>
            <w:r/>
            <w:r>
              <w:rPr>
                <w:rFonts w:ascii="Aptos" w:hAnsi="Aptos"/>
                <w:sz w:val="18"/>
              </w:rPr>
              <w:t>—</w:t>
            </w:r>
          </w:p>
        </w:tc>
        <w:tc>
          <w:tcPr>
            <w:tcW w:type="dxa" w:w="680"/>
          </w:tcPr>
          <w:p>
            <w:r/>
            <w:r>
              <w:rPr>
                <w:rFonts w:ascii="Aptos" w:hAnsi="Aptos"/>
                <w:sz w:val="18"/>
              </w:rPr>
              <w:t>50K</w:t>
            </w:r>
          </w:p>
        </w:tc>
        <w:tc>
          <w:tcPr>
            <w:tcW w:type="dxa" w:w="567"/>
          </w:tcPr>
          <w:p>
            <w:r/>
            <w:r>
              <w:rPr>
                <w:rFonts w:ascii="Aptos" w:hAnsi="Aptos"/>
                <w:sz w:val="18"/>
              </w:rPr>
              <w:t>250K</w:t>
            </w:r>
          </w:p>
        </w:tc>
        <w:tc>
          <w:tcPr>
            <w:tcW w:type="dxa" w:w="567"/>
          </w:tcPr>
          <w:p>
            <w:r/>
            <w:r>
              <w:rPr>
                <w:rFonts w:ascii="Aptos" w:hAnsi="Aptos"/>
                <w:sz w:val="18"/>
              </w:rPr>
              <w:t>1M</w:t>
            </w:r>
          </w:p>
        </w:tc>
        <w:tc>
          <w:tcPr>
            <w:tcW w:type="dxa" w:w="680"/>
          </w:tcPr>
          <w:p>
            <w:r/>
            <w:r>
              <w:rPr>
                <w:rFonts w:ascii="Aptos" w:hAnsi="Aptos"/>
                <w:sz w:val="18"/>
              </w:rPr>
              <w:t>5M</w:t>
            </w:r>
          </w:p>
        </w:tc>
        <w:tc>
          <w:tcPr>
            <w:tcW w:type="dxa" w:w="680"/>
          </w:tcPr>
          <w:p>
            <w:r/>
            <w:r>
              <w:rPr>
                <w:rFonts w:ascii="Aptos" w:hAnsi="Aptos"/>
                <w:sz w:val="18"/>
              </w:rPr>
              <w:t>10M</w:t>
            </w:r>
          </w:p>
        </w:tc>
        <w:tc>
          <w:tcPr>
            <w:tcW w:type="dxa" w:w="794"/>
          </w:tcPr>
          <w:p>
            <w:r/>
            <w:r>
              <w:rPr>
                <w:rFonts w:ascii="Aptos" w:hAnsi="Aptos"/>
                <w:sz w:val="18"/>
              </w:rPr>
              <w:t>25M</w:t>
            </w:r>
          </w:p>
        </w:tc>
        <w:tc>
          <w:tcPr>
            <w:tcW w:type="dxa" w:w="794"/>
          </w:tcPr>
          <w:p>
            <w:r/>
            <w:r>
              <w:rPr>
                <w:rFonts w:ascii="Aptos" w:hAnsi="Aptos"/>
                <w:sz w:val="18"/>
              </w:rPr>
              <w:t>50M</w:t>
            </w:r>
          </w:p>
        </w:tc>
        <w:tc>
          <w:tcPr>
            <w:tcW w:type="dxa" w:w="794"/>
          </w:tcPr>
          <w:p>
            <w:r/>
            <w:r>
              <w:rPr>
                <w:rFonts w:ascii="Aptos" w:hAnsi="Aptos"/>
                <w:sz w:val="18"/>
              </w:rPr>
              <w:t>—</w:t>
            </w:r>
          </w:p>
        </w:tc>
        <w:tc>
          <w:tcPr>
            <w:tcW w:type="dxa" w:w="794"/>
          </w:tcPr>
          <w:p>
            <w:r/>
            <w:r>
              <w:rPr>
                <w:rFonts w:ascii="Aptos" w:hAnsi="Aptos"/>
                <w:sz w:val="18"/>
              </w:rPr>
              <w:t>&gt; 75M</w:t>
            </w:r>
          </w:p>
        </w:tc>
      </w:tr>
      <w:tr>
        <w:tc>
          <w:tcPr>
            <w:tcW w:type="dxa" w:w="1701"/>
          </w:tcPr>
          <w:p>
            <w:r/>
            <w:r>
              <w:rPr>
                <w:rFonts w:ascii="Aptos" w:hAnsi="Aptos"/>
                <w:sz w:val="18"/>
              </w:rPr>
              <w:t>Litigation settlement</w:t>
            </w:r>
          </w:p>
        </w:tc>
        <w:tc>
          <w:tcPr>
            <w:tcW w:type="dxa" w:w="567"/>
          </w:tcPr>
          <w:p>
            <w:r/>
            <w:r>
              <w:rPr>
                <w:rFonts w:ascii="Aptos" w:hAnsi="Aptos"/>
                <w:sz w:val="18"/>
              </w:rPr>
              <w:t>—</w:t>
            </w:r>
          </w:p>
        </w:tc>
        <w:tc>
          <w:tcPr>
            <w:tcW w:type="dxa" w:w="680"/>
          </w:tcPr>
          <w:p>
            <w:r/>
            <w:r>
              <w:rPr>
                <w:rFonts w:ascii="Aptos" w:hAnsi="Aptos"/>
                <w:sz w:val="18"/>
              </w:rPr>
              <w:t>100K</w:t>
            </w:r>
          </w:p>
        </w:tc>
        <w:tc>
          <w:tcPr>
            <w:tcW w:type="dxa" w:w="567"/>
          </w:tcPr>
          <w:p>
            <w:r/>
            <w:r>
              <w:rPr>
                <w:rFonts w:ascii="Aptos" w:hAnsi="Aptos"/>
                <w:sz w:val="18"/>
              </w:rPr>
              <w:t>500K</w:t>
            </w:r>
          </w:p>
        </w:tc>
        <w:tc>
          <w:tcPr>
            <w:tcW w:type="dxa" w:w="567"/>
          </w:tcPr>
          <w:p>
            <w:r/>
            <w:r>
              <w:rPr>
                <w:rFonts w:ascii="Aptos" w:hAnsi="Aptos"/>
                <w:sz w:val="18"/>
              </w:rPr>
              <w:t>2M</w:t>
            </w:r>
          </w:p>
        </w:tc>
        <w:tc>
          <w:tcPr>
            <w:tcW w:type="dxa" w:w="680"/>
          </w:tcPr>
          <w:p>
            <w:r/>
            <w:r>
              <w:rPr>
                <w:rFonts w:ascii="Aptos" w:hAnsi="Aptos"/>
                <w:sz w:val="18"/>
              </w:rPr>
              <w:t>5M</w:t>
            </w:r>
          </w:p>
        </w:tc>
        <w:tc>
          <w:tcPr>
            <w:tcW w:type="dxa" w:w="680"/>
          </w:tcPr>
          <w:p>
            <w:r/>
            <w:r>
              <w:rPr>
                <w:rFonts w:ascii="Aptos" w:hAnsi="Aptos"/>
                <w:sz w:val="18"/>
              </w:rPr>
              <w:t>15M</w:t>
            </w:r>
          </w:p>
        </w:tc>
        <w:tc>
          <w:tcPr>
            <w:tcW w:type="dxa" w:w="794"/>
          </w:tcPr>
          <w:p>
            <w:r/>
            <w:r>
              <w:rPr>
                <w:rFonts w:ascii="Aptos" w:hAnsi="Aptos"/>
                <w:sz w:val="18"/>
              </w:rPr>
              <w:t>40M</w:t>
            </w:r>
          </w:p>
        </w:tc>
        <w:tc>
          <w:tcPr>
            <w:tcW w:type="dxa" w:w="794"/>
          </w:tcPr>
          <w:p>
            <w:r/>
            <w:r>
              <w:rPr>
                <w:rFonts w:ascii="Aptos" w:hAnsi="Aptos"/>
                <w:sz w:val="18"/>
              </w:rPr>
              <w:t>80M</w:t>
            </w:r>
          </w:p>
        </w:tc>
        <w:tc>
          <w:tcPr>
            <w:tcW w:type="dxa" w:w="794"/>
          </w:tcPr>
          <w:p>
            <w:r/>
            <w:r>
              <w:rPr>
                <w:rFonts w:ascii="Aptos" w:hAnsi="Aptos"/>
                <w:sz w:val="18"/>
              </w:rPr>
              <w:t>—</w:t>
            </w:r>
          </w:p>
        </w:tc>
        <w:tc>
          <w:tcPr>
            <w:tcW w:type="dxa" w:w="794"/>
          </w:tcPr>
          <w:p>
            <w:r/>
            <w:r>
              <w:rPr>
                <w:rFonts w:ascii="Aptos" w:hAnsi="Aptos"/>
                <w:sz w:val="18"/>
              </w:rPr>
              <w:t>&gt; 100M</w:t>
            </w:r>
          </w:p>
        </w:tc>
      </w:tr>
      <w:tr>
        <w:tc>
          <w:tcPr>
            <w:tcW w:type="dxa" w:w="1701"/>
          </w:tcPr>
          <w:p>
            <w:r/>
            <w:r>
              <w:rPr>
                <w:rFonts w:ascii="Aptos" w:hAnsi="Aptos"/>
                <w:sz w:val="18"/>
              </w:rPr>
              <w:t>M&amp;A / divestment</w:t>
            </w:r>
          </w:p>
        </w:tc>
        <w:tc>
          <w:tcPr>
            <w:tcW w:type="dxa" w:w="567"/>
          </w:tcPr>
          <w:p>
            <w:r/>
            <w:r>
              <w:rPr>
                <w:rFonts w:ascii="Aptos" w:hAnsi="Aptos"/>
                <w:sz w:val="18"/>
              </w:rPr>
              <w:t>—</w:t>
            </w:r>
          </w:p>
        </w:tc>
        <w:tc>
          <w:tcPr>
            <w:tcW w:type="dxa" w:w="680"/>
          </w:tcPr>
          <w:p>
            <w:r/>
            <w:r>
              <w:rPr>
                <w:rFonts w:ascii="Aptos" w:hAnsi="Aptos"/>
                <w:sz w:val="18"/>
              </w:rPr>
              <w:t>—</w:t>
            </w:r>
          </w:p>
        </w:tc>
        <w:tc>
          <w:tcPr>
            <w:tcW w:type="dxa" w:w="567"/>
          </w:tcPr>
          <w:p>
            <w:r/>
            <w:r>
              <w:rPr>
                <w:rFonts w:ascii="Aptos" w:hAnsi="Aptos"/>
                <w:sz w:val="18"/>
              </w:rPr>
              <w:t>—</w:t>
            </w:r>
          </w:p>
        </w:tc>
        <w:tc>
          <w:tcPr>
            <w:tcW w:type="dxa" w:w="567"/>
          </w:tcPr>
          <w:p>
            <w:r/>
            <w:r>
              <w:rPr>
                <w:rFonts w:ascii="Aptos" w:hAnsi="Aptos"/>
                <w:sz w:val="18"/>
              </w:rPr>
              <w:t>—</w:t>
            </w:r>
          </w:p>
        </w:tc>
        <w:tc>
          <w:tcPr>
            <w:tcW w:type="dxa" w:w="680"/>
          </w:tcPr>
          <w:p>
            <w:r/>
            <w:r>
              <w:rPr>
                <w:rFonts w:ascii="Aptos" w:hAnsi="Aptos"/>
                <w:sz w:val="18"/>
              </w:rPr>
              <w:t>—</w:t>
            </w:r>
          </w:p>
        </w:tc>
        <w:tc>
          <w:tcPr>
            <w:tcW w:type="dxa" w:w="680"/>
          </w:tcPr>
          <w:p>
            <w:r/>
            <w:r>
              <w:rPr>
                <w:rFonts w:ascii="Aptos" w:hAnsi="Aptos"/>
                <w:sz w:val="18"/>
              </w:rPr>
              <w:t>—</w:t>
            </w:r>
          </w:p>
        </w:tc>
        <w:tc>
          <w:tcPr>
            <w:tcW w:type="dxa" w:w="794"/>
          </w:tcPr>
          <w:p>
            <w:r/>
            <w:r>
              <w:rPr>
                <w:rFonts w:ascii="Aptos" w:hAnsi="Aptos"/>
                <w:sz w:val="18"/>
              </w:rPr>
              <w:t>—</w:t>
            </w:r>
          </w:p>
        </w:tc>
        <w:tc>
          <w:tcPr>
            <w:tcW w:type="dxa" w:w="794"/>
          </w:tcPr>
          <w:p>
            <w:r/>
            <w:r>
              <w:rPr>
                <w:rFonts w:ascii="Aptos" w:hAnsi="Aptos"/>
                <w:sz w:val="18"/>
              </w:rPr>
              <w:t>—</w:t>
            </w:r>
          </w:p>
        </w:tc>
        <w:tc>
          <w:tcPr>
            <w:tcW w:type="dxa" w:w="794"/>
          </w:tcPr>
          <w:p>
            <w:r/>
            <w:r>
              <w:rPr>
                <w:rFonts w:ascii="Aptos" w:hAnsi="Aptos"/>
                <w:sz w:val="18"/>
              </w:rPr>
              <w:t>&lt; 200M</w:t>
            </w:r>
          </w:p>
        </w:tc>
        <w:tc>
          <w:tcPr>
            <w:tcW w:type="dxa" w:w="794"/>
          </w:tcPr>
          <w:p>
            <w:r/>
            <w:r>
              <w:rPr>
                <w:rFonts w:ascii="Aptos" w:hAnsi="Aptos"/>
                <w:sz w:val="18"/>
              </w:rPr>
              <w:t>&gt; 200M</w:t>
            </w:r>
          </w:p>
        </w:tc>
      </w:tr>
      <w:tr>
        <w:tc>
          <w:tcPr>
            <w:tcW w:type="dxa" w:w="1701"/>
          </w:tcPr>
          <w:p>
            <w:r/>
            <w:r>
              <w:rPr>
                <w:rFonts w:ascii="Aptos" w:hAnsi="Aptos"/>
                <w:sz w:val="18"/>
              </w:rPr>
              <w:t>New borrowing facility</w:t>
            </w:r>
          </w:p>
        </w:tc>
        <w:tc>
          <w:tcPr>
            <w:tcW w:type="dxa" w:w="567"/>
          </w:tcPr>
          <w:p>
            <w:r/>
            <w:r>
              <w:rPr>
                <w:rFonts w:ascii="Aptos" w:hAnsi="Aptos"/>
                <w:sz w:val="18"/>
              </w:rPr>
              <w:t>—</w:t>
            </w:r>
          </w:p>
        </w:tc>
        <w:tc>
          <w:tcPr>
            <w:tcW w:type="dxa" w:w="680"/>
          </w:tcPr>
          <w:p>
            <w:r/>
            <w:r>
              <w:rPr>
                <w:rFonts w:ascii="Aptos" w:hAnsi="Aptos"/>
                <w:sz w:val="18"/>
              </w:rPr>
              <w:t>—</w:t>
            </w:r>
          </w:p>
        </w:tc>
        <w:tc>
          <w:tcPr>
            <w:tcW w:type="dxa" w:w="567"/>
          </w:tcPr>
          <w:p>
            <w:r/>
            <w:r>
              <w:rPr>
                <w:rFonts w:ascii="Aptos" w:hAnsi="Aptos"/>
                <w:sz w:val="18"/>
              </w:rPr>
              <w:t>—</w:t>
            </w:r>
          </w:p>
        </w:tc>
        <w:tc>
          <w:tcPr>
            <w:tcW w:type="dxa" w:w="567"/>
          </w:tcPr>
          <w:p>
            <w:r/>
            <w:r>
              <w:rPr>
                <w:rFonts w:ascii="Aptos" w:hAnsi="Aptos"/>
                <w:sz w:val="18"/>
              </w:rPr>
              <w:t>—</w:t>
            </w:r>
          </w:p>
        </w:tc>
        <w:tc>
          <w:tcPr>
            <w:tcW w:type="dxa" w:w="680"/>
          </w:tcPr>
          <w:p>
            <w:r/>
            <w:r>
              <w:rPr>
                <w:rFonts w:ascii="Aptos" w:hAnsi="Aptos"/>
                <w:sz w:val="18"/>
              </w:rPr>
              <w:t>—</w:t>
            </w:r>
          </w:p>
        </w:tc>
        <w:tc>
          <w:tcPr>
            <w:tcW w:type="dxa" w:w="680"/>
          </w:tcPr>
          <w:p>
            <w:r/>
            <w:r>
              <w:rPr>
                <w:rFonts w:ascii="Aptos" w:hAnsi="Aptos"/>
                <w:sz w:val="18"/>
              </w:rPr>
              <w:t>—</w:t>
            </w:r>
          </w:p>
        </w:tc>
        <w:tc>
          <w:tcPr>
            <w:tcW w:type="dxa" w:w="794"/>
          </w:tcPr>
          <w:p>
            <w:r/>
            <w:r>
              <w:rPr>
                <w:rFonts w:ascii="Aptos" w:hAnsi="Aptos"/>
                <w:sz w:val="18"/>
              </w:rPr>
              <w:t>—</w:t>
            </w:r>
          </w:p>
        </w:tc>
        <w:tc>
          <w:tcPr>
            <w:tcW w:type="dxa" w:w="794"/>
          </w:tcPr>
          <w:p>
            <w:r/>
            <w:r>
              <w:rPr>
                <w:rFonts w:ascii="Aptos" w:hAnsi="Aptos"/>
                <w:sz w:val="18"/>
              </w:rPr>
              <w:t>&lt; 200M</w:t>
            </w:r>
          </w:p>
        </w:tc>
        <w:tc>
          <w:tcPr>
            <w:tcW w:type="dxa" w:w="794"/>
          </w:tcPr>
          <w:p>
            <w:r/>
            <w:r>
              <w:rPr>
                <w:rFonts w:ascii="Aptos" w:hAnsi="Aptos"/>
                <w:sz w:val="18"/>
              </w:rPr>
              <w:t>&lt; 500M</w:t>
            </w:r>
          </w:p>
        </w:tc>
        <w:tc>
          <w:tcPr>
            <w:tcW w:type="dxa" w:w="794"/>
          </w:tcPr>
          <w:p>
            <w:r/>
            <w:r>
              <w:rPr>
                <w:rFonts w:ascii="Aptos" w:hAnsi="Aptos"/>
                <w:sz w:val="18"/>
              </w:rPr>
              <w:t>&gt; 500M</w:t>
            </w:r>
          </w:p>
        </w:tc>
      </w:tr>
      <w:tr>
        <w:tc>
          <w:tcPr>
            <w:tcW w:type="dxa" w:w="1701"/>
          </w:tcPr>
          <w:p>
            <w:r/>
            <w:r>
              <w:rPr>
                <w:rFonts w:ascii="Aptos" w:hAnsi="Aptos"/>
                <w:sz w:val="18"/>
              </w:rPr>
              <w:t>Currency hedging (notional)</w:t>
            </w:r>
          </w:p>
        </w:tc>
        <w:tc>
          <w:tcPr>
            <w:tcW w:type="dxa" w:w="567"/>
          </w:tcPr>
          <w:p>
            <w:r/>
            <w:r>
              <w:rPr>
                <w:rFonts w:ascii="Aptos" w:hAnsi="Aptos"/>
                <w:sz w:val="18"/>
              </w:rPr>
              <w:t>—</w:t>
            </w:r>
          </w:p>
        </w:tc>
        <w:tc>
          <w:tcPr>
            <w:tcW w:type="dxa" w:w="680"/>
          </w:tcPr>
          <w:p>
            <w:r/>
            <w:r>
              <w:rPr>
                <w:rFonts w:ascii="Aptos" w:hAnsi="Aptos"/>
                <w:sz w:val="18"/>
              </w:rPr>
              <w:t>—</w:t>
            </w:r>
          </w:p>
        </w:tc>
        <w:tc>
          <w:tcPr>
            <w:tcW w:type="dxa" w:w="567"/>
          </w:tcPr>
          <w:p>
            <w:r/>
            <w:r>
              <w:rPr>
                <w:rFonts w:ascii="Aptos" w:hAnsi="Aptos"/>
                <w:sz w:val="18"/>
              </w:rPr>
              <w:t>5M</w:t>
            </w:r>
          </w:p>
        </w:tc>
        <w:tc>
          <w:tcPr>
            <w:tcW w:type="dxa" w:w="567"/>
          </w:tcPr>
          <w:p>
            <w:r/>
            <w:r>
              <w:rPr>
                <w:rFonts w:ascii="Aptos" w:hAnsi="Aptos"/>
                <w:sz w:val="18"/>
              </w:rPr>
              <w:t>20M</w:t>
            </w:r>
          </w:p>
        </w:tc>
        <w:tc>
          <w:tcPr>
            <w:tcW w:type="dxa" w:w="680"/>
          </w:tcPr>
          <w:p>
            <w:r/>
            <w:r>
              <w:rPr>
                <w:rFonts w:ascii="Aptos" w:hAnsi="Aptos"/>
                <w:sz w:val="18"/>
              </w:rPr>
              <w:t>50M</w:t>
            </w:r>
          </w:p>
        </w:tc>
        <w:tc>
          <w:tcPr>
            <w:tcW w:type="dxa" w:w="680"/>
          </w:tcPr>
          <w:p>
            <w:r/>
            <w:r>
              <w:rPr>
                <w:rFonts w:ascii="Aptos" w:hAnsi="Aptos"/>
                <w:sz w:val="18"/>
              </w:rPr>
              <w:t>100M</w:t>
            </w:r>
          </w:p>
        </w:tc>
        <w:tc>
          <w:tcPr>
            <w:tcW w:type="dxa" w:w="794"/>
          </w:tcPr>
          <w:p>
            <w:r/>
            <w:r>
              <w:rPr>
                <w:rFonts w:ascii="Aptos" w:hAnsi="Aptos"/>
                <w:sz w:val="18"/>
              </w:rPr>
              <w:t>250M</w:t>
            </w:r>
          </w:p>
        </w:tc>
        <w:tc>
          <w:tcPr>
            <w:tcW w:type="dxa" w:w="794"/>
          </w:tcPr>
          <w:p>
            <w:r/>
            <w:r>
              <w:rPr>
                <w:rFonts w:ascii="Aptos" w:hAnsi="Aptos"/>
                <w:sz w:val="18"/>
              </w:rPr>
              <w:t>500M</w:t>
            </w:r>
          </w:p>
        </w:tc>
        <w:tc>
          <w:tcPr>
            <w:tcW w:type="dxa" w:w="794"/>
          </w:tcPr>
          <w:p>
            <w:r/>
            <w:r>
              <w:rPr>
                <w:rFonts w:ascii="Aptos" w:hAnsi="Aptos"/>
                <w:sz w:val="18"/>
              </w:rPr>
              <w:t>—</w:t>
            </w:r>
          </w:p>
        </w:tc>
        <w:tc>
          <w:tcPr>
            <w:tcW w:type="dxa" w:w="794"/>
          </w:tcPr>
          <w:p>
            <w:r/>
            <w:r>
              <w:rPr>
                <w:rFonts w:ascii="Aptos" w:hAnsi="Aptos"/>
                <w:sz w:val="18"/>
              </w:rPr>
              <w:t>&gt; 500M</w:t>
            </w:r>
          </w:p>
        </w:tc>
      </w:tr>
    </w:tbl>
    <w:p>
      <w:pPr>
        <w:spacing w:after="120" w:line="276" w:lineRule="auto"/>
      </w:pPr>
      <w:r>
        <w:rPr>
          <w:rFonts w:ascii="Aptos" w:hAnsi="Aptos"/>
          <w:b w:val="0"/>
          <w:i w:val="0"/>
          <w:sz w:val="20"/>
        </w:rPr>
        <w:t>All amounts in MYR. Equivalents in IDR/SGD/THB/VND/PHP apply per the Group monthly FX policy rate.</w:t>
      </w:r>
    </w:p>
    <w:p>
      <w:pPr>
        <w:spacing w:after="120" w:line="276" w:lineRule="auto"/>
      </w:pPr>
      <w:r>
        <w:rPr>
          <w:rFonts w:ascii="Aptos" w:hAnsi="Aptos"/>
          <w:b/>
          <w:i w:val="0"/>
          <w:sz w:val="24"/>
        </w:rPr>
        <w:t>4.2 Budgeting &amp; Forecasting Cycle</w:t>
      </w:r>
    </w:p>
    <w:p>
      <w:pPr>
        <w:spacing w:after="120" w:line="276" w:lineRule="auto"/>
      </w:pPr>
      <w:r>
        <w:rPr>
          <w:rFonts w:ascii="Aptos" w:hAnsi="Aptos"/>
          <w:b w:val="0"/>
          <w:i w:val="0"/>
          <w:sz w:val="20"/>
        </w:rPr>
        <w:t>The Group operates an integrated annual planning cycle:</w:t>
      </w:r>
    </w:p>
    <w:p>
      <w:pPr>
        <w:pStyle w:val="ListBullet"/>
        <w:spacing w:after="60"/>
      </w:pPr>
      <w:r>
        <w:rPr>
          <w:rFonts w:ascii="Aptos" w:hAnsi="Aptos"/>
          <w:sz w:val="20"/>
        </w:rPr>
        <w:t>July-August: 5-year strategic-plan refresh (Group Strategy + Division Heads)</w:t>
      </w:r>
    </w:p>
    <w:p>
      <w:pPr>
        <w:pStyle w:val="ListBullet"/>
        <w:spacing w:after="60"/>
      </w:pPr>
      <w:r>
        <w:rPr>
          <w:rFonts w:ascii="Aptos" w:hAnsi="Aptos"/>
          <w:sz w:val="20"/>
        </w:rPr>
        <w:t>September: Group budget guidelines issued (volume, FX, inflation, tax assumptions)</w:t>
      </w:r>
    </w:p>
    <w:p>
      <w:pPr>
        <w:pStyle w:val="ListBullet"/>
        <w:spacing w:after="60"/>
      </w:pPr>
      <w:r>
        <w:rPr>
          <w:rFonts w:ascii="Aptos" w:hAnsi="Aptos"/>
          <w:sz w:val="20"/>
        </w:rPr>
        <w:t>October: Division budget submissions (bottom-up)</w:t>
      </w:r>
    </w:p>
    <w:p>
      <w:pPr>
        <w:pStyle w:val="ListBullet"/>
        <w:spacing w:after="60"/>
      </w:pPr>
      <w:r>
        <w:rPr>
          <w:rFonts w:ascii="Aptos" w:hAnsi="Aptos"/>
          <w:sz w:val="20"/>
        </w:rPr>
        <w:t>November: Group consolidation, challenge sessions, draft Board paper</w:t>
      </w:r>
    </w:p>
    <w:p>
      <w:pPr>
        <w:pStyle w:val="ListBullet"/>
        <w:spacing w:after="60"/>
      </w:pPr>
      <w:r>
        <w:rPr>
          <w:rFonts w:ascii="Aptos" w:hAnsi="Aptos"/>
          <w:sz w:val="20"/>
        </w:rPr>
        <w:t>December: Board approval; cascade to KPI scorecards</w:t>
      </w:r>
    </w:p>
    <w:p>
      <w:pPr>
        <w:pStyle w:val="ListBullet"/>
        <w:spacing w:after="60"/>
      </w:pPr>
      <w:r>
        <w:rPr>
          <w:rFonts w:ascii="Aptos" w:hAnsi="Aptos"/>
          <w:sz w:val="20"/>
        </w:rPr>
        <w:t>Quarterly: Re-forecast with rolling 4-quarter view (R4Q); variance &gt; ±5% triggers root-cause review</w:t>
      </w:r>
    </w:p>
    <w:p>
      <w:pPr>
        <w:spacing w:after="120" w:line="276" w:lineRule="auto"/>
      </w:pPr>
      <w:r>
        <w:rPr>
          <w:rFonts w:ascii="Aptos" w:hAnsi="Aptos"/>
          <w:b/>
          <w:i w:val="0"/>
          <w:sz w:val="24"/>
        </w:rPr>
        <w:t>4.3 Financial Reporting Standards</w:t>
      </w:r>
    </w:p>
    <w:p>
      <w:pPr>
        <w:spacing w:after="120" w:line="276" w:lineRule="auto"/>
      </w:pPr>
      <w:r>
        <w:rPr>
          <w:rFonts w:ascii="Aptos" w:hAnsi="Aptos"/>
          <w:b w:val="0"/>
          <w:i w:val="0"/>
          <w:sz w:val="20"/>
        </w:rPr>
        <w:t>The Group prepares consolidated financial statements under MFRS (Malaysian Financial Reporting Standards), which are equivalent to IFRS. Subsidiary reporting under PSAK (Indonesia), TFRS (Thailand), VAS (Vietnam), PFRS (Philippines) is reconciled monthly through the Oracle EPM consolidation engine. The Group has elected MFRS 16 (Leases) full retrospective method since FY2019, and applies MFRS 9 expected-credit-loss model for all financial instruments.</w:t>
      </w:r>
    </w:p>
    <w:p>
      <w:pPr>
        <w:spacing w:after="120" w:line="276" w:lineRule="auto"/>
      </w:pPr>
      <w:r>
        <w:rPr>
          <w:rFonts w:ascii="Aptos" w:hAnsi="Aptos"/>
          <w:b/>
          <w:i w:val="0"/>
          <w:sz w:val="24"/>
        </w:rPr>
        <w:t>4.4 Treasury &amp; Cash Management</w:t>
      </w:r>
    </w:p>
    <w:p>
      <w:pPr>
        <w:spacing w:after="120" w:line="276" w:lineRule="auto"/>
      </w:pPr>
      <w:r>
        <w:rPr>
          <w:rFonts w:ascii="Aptos" w:hAnsi="Aptos"/>
          <w:b w:val="0"/>
          <w:i w:val="0"/>
          <w:sz w:val="20"/>
        </w:rPr>
        <w:t>Treasury operates a centralised in-house bank (IHB) covering 11 divisions and 143 entities. Counterparty bank exposure is limited per the Group Counterparty Risk Policy; aggregate exposure to any single bank shall not exceed 20% of total cash and short-term investments unless approved by the Investment Committee. Cash forecasting is on a rolling 13-week basis, with weekly variance review at Group Treasurer level.</w:t>
      </w:r>
    </w:p>
    <w:p>
      <w:r>
        <w:br w:type="page"/>
      </w:r>
    </w:p>
    <w:p>
      <w:pPr>
        <w:keepNext/>
        <w:spacing w:before="360" w:after="120"/>
      </w:pPr>
      <w:r>
        <w:rPr>
          <w:rFonts w:ascii="Aptos" w:hAnsi="Aptos"/>
          <w:b/>
          <w:color w:val="1F4E79"/>
          <w:sz w:val="40"/>
        </w:rPr>
        <w:t>5. Procurement &amp; Vendor Management</w:t>
      </w:r>
    </w:p>
    <w:p>
      <w:pPr>
        <w:spacing w:after="120" w:line="276" w:lineRule="auto"/>
      </w:pPr>
      <w:r>
        <w:rPr>
          <w:rFonts w:ascii="Aptos" w:hAnsi="Aptos"/>
          <w:b/>
          <w:i w:val="0"/>
          <w:sz w:val="24"/>
        </w:rPr>
        <w:t>5.1 Sourcing Principles</w:t>
      </w:r>
    </w:p>
    <w:p>
      <w:pPr>
        <w:spacing w:after="120" w:line="276" w:lineRule="auto"/>
      </w:pPr>
      <w:r>
        <w:rPr>
          <w:rFonts w:ascii="Aptos" w:hAnsi="Aptos"/>
          <w:b w:val="0"/>
          <w:i w:val="0"/>
          <w:sz w:val="20"/>
        </w:rPr>
        <w:t>All procurement shall be conducted under the principles of fair competition, value for money, ethical sourcing, supply continuity, and total cost of ownership over headline price. The Source-to-Pay (S2P) platform is SAP Ariba, integrated with Workday and Oracle EBS.</w:t>
      </w:r>
    </w:p>
    <w:p>
      <w:pPr>
        <w:spacing w:after="120" w:line="276" w:lineRule="auto"/>
      </w:pPr>
      <w:r>
        <w:rPr>
          <w:rFonts w:ascii="Aptos" w:hAnsi="Aptos"/>
          <w:b/>
          <w:i w:val="0"/>
          <w:sz w:val="24"/>
        </w:rPr>
        <w:t>5.2 Sourcing Method by Spend Threshold</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701"/>
            <w:shd w:val="clear" w:color="auto" w:fill="1F4E79"/>
          </w:tcPr>
          <w:p>
            <w:r/>
            <w:r>
              <w:rPr>
                <w:rFonts w:ascii="Aptos" w:hAnsi="Aptos"/>
                <w:b/>
                <w:color w:val="FFFFFF"/>
                <w:sz w:val="20"/>
              </w:rPr>
              <w:t>Spend (per contract)</w:t>
            </w:r>
          </w:p>
        </w:tc>
        <w:tc>
          <w:tcPr>
            <w:tcW w:type="dxa" w:w="2551"/>
            <w:shd w:val="clear" w:color="auto" w:fill="1F4E79"/>
          </w:tcPr>
          <w:p>
            <w:r/>
            <w:r>
              <w:rPr>
                <w:rFonts w:ascii="Aptos" w:hAnsi="Aptos"/>
                <w:b/>
                <w:color w:val="FFFFFF"/>
                <w:sz w:val="20"/>
              </w:rPr>
              <w:t>Sourcing Method</w:t>
            </w:r>
          </w:p>
        </w:tc>
        <w:tc>
          <w:tcPr>
            <w:tcW w:type="dxa" w:w="850"/>
            <w:shd w:val="clear" w:color="auto" w:fill="1F4E79"/>
          </w:tcPr>
          <w:p>
            <w:r/>
            <w:r>
              <w:rPr>
                <w:rFonts w:ascii="Aptos" w:hAnsi="Aptos"/>
                <w:b/>
                <w:color w:val="FFFFFF"/>
                <w:sz w:val="20"/>
              </w:rPr>
              <w:t>Min. Quotes</w:t>
            </w:r>
          </w:p>
        </w:tc>
        <w:tc>
          <w:tcPr>
            <w:tcW w:type="dxa" w:w="2268"/>
            <w:shd w:val="clear" w:color="auto" w:fill="1F4E79"/>
          </w:tcPr>
          <w:p>
            <w:r/>
            <w:r>
              <w:rPr>
                <w:rFonts w:ascii="Aptos" w:hAnsi="Aptos"/>
                <w:b/>
                <w:color w:val="FFFFFF"/>
                <w:sz w:val="20"/>
              </w:rPr>
              <w:t>Approval</w:t>
            </w:r>
          </w:p>
        </w:tc>
        <w:tc>
          <w:tcPr>
            <w:tcW w:type="dxa" w:w="1134"/>
            <w:shd w:val="clear" w:color="auto" w:fill="1F4E79"/>
          </w:tcPr>
          <w:p>
            <w:r/>
            <w:r>
              <w:rPr>
                <w:rFonts w:ascii="Aptos" w:hAnsi="Aptos"/>
                <w:b/>
                <w:color w:val="FFFFFF"/>
                <w:sz w:val="20"/>
              </w:rPr>
              <w:t>Cycle Time SLA</w:t>
            </w:r>
          </w:p>
        </w:tc>
      </w:tr>
      <w:tr>
        <w:tc>
          <w:tcPr>
            <w:tcW w:type="dxa" w:w="1701"/>
          </w:tcPr>
          <w:p>
            <w:r/>
            <w:r>
              <w:rPr>
                <w:rFonts w:ascii="Aptos" w:hAnsi="Aptos"/>
                <w:sz w:val="18"/>
              </w:rPr>
              <w:t>&lt; MYR 50K</w:t>
            </w:r>
          </w:p>
        </w:tc>
        <w:tc>
          <w:tcPr>
            <w:tcW w:type="dxa" w:w="2551"/>
          </w:tcPr>
          <w:p>
            <w:r/>
            <w:r>
              <w:rPr>
                <w:rFonts w:ascii="Aptos" w:hAnsi="Aptos"/>
                <w:sz w:val="18"/>
              </w:rPr>
              <w:t>Direct purchase / catalogue</w:t>
            </w:r>
          </w:p>
        </w:tc>
        <w:tc>
          <w:tcPr>
            <w:tcW w:type="dxa" w:w="850"/>
          </w:tcPr>
          <w:p>
            <w:r/>
            <w:r>
              <w:rPr>
                <w:rFonts w:ascii="Aptos" w:hAnsi="Aptos"/>
                <w:sz w:val="18"/>
              </w:rPr>
              <w:t>1</w:t>
            </w:r>
          </w:p>
        </w:tc>
        <w:tc>
          <w:tcPr>
            <w:tcW w:type="dxa" w:w="2268"/>
          </w:tcPr>
          <w:p>
            <w:r/>
            <w:r>
              <w:rPr>
                <w:rFonts w:ascii="Aptos" w:hAnsi="Aptos"/>
                <w:sz w:val="18"/>
              </w:rPr>
              <w:t>Requestor + Line Mgr</w:t>
            </w:r>
          </w:p>
        </w:tc>
        <w:tc>
          <w:tcPr>
            <w:tcW w:type="dxa" w:w="1134"/>
          </w:tcPr>
          <w:p>
            <w:r/>
            <w:r>
              <w:rPr>
                <w:rFonts w:ascii="Aptos" w:hAnsi="Aptos"/>
                <w:sz w:val="18"/>
              </w:rPr>
              <w:t>3 days</w:t>
            </w:r>
          </w:p>
        </w:tc>
      </w:tr>
      <w:tr>
        <w:tc>
          <w:tcPr>
            <w:tcW w:type="dxa" w:w="1701"/>
          </w:tcPr>
          <w:p>
            <w:r/>
            <w:r>
              <w:rPr>
                <w:rFonts w:ascii="Aptos" w:hAnsi="Aptos"/>
                <w:sz w:val="18"/>
              </w:rPr>
              <w:t>MYR 50K — 250K</w:t>
            </w:r>
          </w:p>
        </w:tc>
        <w:tc>
          <w:tcPr>
            <w:tcW w:type="dxa" w:w="2551"/>
          </w:tcPr>
          <w:p>
            <w:r/>
            <w:r>
              <w:rPr>
                <w:rFonts w:ascii="Aptos" w:hAnsi="Aptos"/>
                <w:sz w:val="18"/>
              </w:rPr>
              <w:t>Three-quote sourcing (RFQ)</w:t>
            </w:r>
          </w:p>
        </w:tc>
        <w:tc>
          <w:tcPr>
            <w:tcW w:type="dxa" w:w="850"/>
          </w:tcPr>
          <w:p>
            <w:r/>
            <w:r>
              <w:rPr>
                <w:rFonts w:ascii="Aptos" w:hAnsi="Aptos"/>
                <w:sz w:val="18"/>
              </w:rPr>
              <w:t>3</w:t>
            </w:r>
          </w:p>
        </w:tc>
        <w:tc>
          <w:tcPr>
            <w:tcW w:type="dxa" w:w="2268"/>
          </w:tcPr>
          <w:p>
            <w:r/>
            <w:r>
              <w:rPr>
                <w:rFonts w:ascii="Aptos" w:hAnsi="Aptos"/>
                <w:sz w:val="18"/>
              </w:rPr>
              <w:t>Category Manager</w:t>
            </w:r>
          </w:p>
        </w:tc>
        <w:tc>
          <w:tcPr>
            <w:tcW w:type="dxa" w:w="1134"/>
          </w:tcPr>
          <w:p>
            <w:r/>
            <w:r>
              <w:rPr>
                <w:rFonts w:ascii="Aptos" w:hAnsi="Aptos"/>
                <w:sz w:val="18"/>
              </w:rPr>
              <w:t>10 days</w:t>
            </w:r>
          </w:p>
        </w:tc>
      </w:tr>
      <w:tr>
        <w:tc>
          <w:tcPr>
            <w:tcW w:type="dxa" w:w="1701"/>
          </w:tcPr>
          <w:p>
            <w:r/>
            <w:r>
              <w:rPr>
                <w:rFonts w:ascii="Aptos" w:hAnsi="Aptos"/>
                <w:sz w:val="18"/>
              </w:rPr>
              <w:t>MYR 250K — 2M</w:t>
            </w:r>
          </w:p>
        </w:tc>
        <w:tc>
          <w:tcPr>
            <w:tcW w:type="dxa" w:w="2551"/>
          </w:tcPr>
          <w:p>
            <w:r/>
            <w:r>
              <w:rPr>
                <w:rFonts w:ascii="Aptos" w:hAnsi="Aptos"/>
                <w:sz w:val="18"/>
              </w:rPr>
              <w:t>Limited tender</w:t>
            </w:r>
          </w:p>
        </w:tc>
        <w:tc>
          <w:tcPr>
            <w:tcW w:type="dxa" w:w="850"/>
          </w:tcPr>
          <w:p>
            <w:r/>
            <w:r>
              <w:rPr>
                <w:rFonts w:ascii="Aptos" w:hAnsi="Aptos"/>
                <w:sz w:val="18"/>
              </w:rPr>
              <w:t>5</w:t>
            </w:r>
          </w:p>
        </w:tc>
        <w:tc>
          <w:tcPr>
            <w:tcW w:type="dxa" w:w="2268"/>
          </w:tcPr>
          <w:p>
            <w:r/>
            <w:r>
              <w:rPr>
                <w:rFonts w:ascii="Aptos" w:hAnsi="Aptos"/>
                <w:sz w:val="18"/>
              </w:rPr>
              <w:t>Procurement Director</w:t>
            </w:r>
          </w:p>
        </w:tc>
        <w:tc>
          <w:tcPr>
            <w:tcW w:type="dxa" w:w="1134"/>
          </w:tcPr>
          <w:p>
            <w:r/>
            <w:r>
              <w:rPr>
                <w:rFonts w:ascii="Aptos" w:hAnsi="Aptos"/>
                <w:sz w:val="18"/>
              </w:rPr>
              <w:t>20 days</w:t>
            </w:r>
          </w:p>
        </w:tc>
      </w:tr>
      <w:tr>
        <w:tc>
          <w:tcPr>
            <w:tcW w:type="dxa" w:w="1701"/>
          </w:tcPr>
          <w:p>
            <w:r/>
            <w:r>
              <w:rPr>
                <w:rFonts w:ascii="Aptos" w:hAnsi="Aptos"/>
                <w:sz w:val="18"/>
              </w:rPr>
              <w:t>MYR 2M — 25M</w:t>
            </w:r>
          </w:p>
        </w:tc>
        <w:tc>
          <w:tcPr>
            <w:tcW w:type="dxa" w:w="2551"/>
          </w:tcPr>
          <w:p>
            <w:r/>
            <w:r>
              <w:rPr>
                <w:rFonts w:ascii="Aptos" w:hAnsi="Aptos"/>
                <w:sz w:val="18"/>
              </w:rPr>
              <w:t>Open tender + technical evaluation</w:t>
            </w:r>
          </w:p>
        </w:tc>
        <w:tc>
          <w:tcPr>
            <w:tcW w:type="dxa" w:w="850"/>
          </w:tcPr>
          <w:p>
            <w:r/>
            <w:r>
              <w:rPr>
                <w:rFonts w:ascii="Aptos" w:hAnsi="Aptos"/>
                <w:sz w:val="18"/>
              </w:rPr>
              <w:t>5+</w:t>
            </w:r>
          </w:p>
        </w:tc>
        <w:tc>
          <w:tcPr>
            <w:tcW w:type="dxa" w:w="2268"/>
          </w:tcPr>
          <w:p>
            <w:r/>
            <w:r>
              <w:rPr>
                <w:rFonts w:ascii="Aptos" w:hAnsi="Aptos"/>
                <w:sz w:val="18"/>
              </w:rPr>
              <w:t>Procurement Cmte</w:t>
            </w:r>
          </w:p>
        </w:tc>
        <w:tc>
          <w:tcPr>
            <w:tcW w:type="dxa" w:w="1134"/>
          </w:tcPr>
          <w:p>
            <w:r/>
            <w:r>
              <w:rPr>
                <w:rFonts w:ascii="Aptos" w:hAnsi="Aptos"/>
                <w:sz w:val="18"/>
              </w:rPr>
              <w:t>40 days</w:t>
            </w:r>
          </w:p>
        </w:tc>
      </w:tr>
      <w:tr>
        <w:tc>
          <w:tcPr>
            <w:tcW w:type="dxa" w:w="1701"/>
          </w:tcPr>
          <w:p>
            <w:r/>
            <w:r>
              <w:rPr>
                <w:rFonts w:ascii="Aptos" w:hAnsi="Aptos"/>
                <w:sz w:val="18"/>
              </w:rPr>
              <w:t>&gt; MYR 25M</w:t>
            </w:r>
          </w:p>
        </w:tc>
        <w:tc>
          <w:tcPr>
            <w:tcW w:type="dxa" w:w="2551"/>
          </w:tcPr>
          <w:p>
            <w:r/>
            <w:r>
              <w:rPr>
                <w:rFonts w:ascii="Aptos" w:hAnsi="Aptos"/>
                <w:sz w:val="18"/>
              </w:rPr>
              <w:t>Open tender + Investment Cmte review</w:t>
            </w:r>
          </w:p>
        </w:tc>
        <w:tc>
          <w:tcPr>
            <w:tcW w:type="dxa" w:w="850"/>
          </w:tcPr>
          <w:p>
            <w:r/>
            <w:r>
              <w:rPr>
                <w:rFonts w:ascii="Aptos" w:hAnsi="Aptos"/>
                <w:sz w:val="18"/>
              </w:rPr>
              <w:t>7+</w:t>
            </w:r>
          </w:p>
        </w:tc>
        <w:tc>
          <w:tcPr>
            <w:tcW w:type="dxa" w:w="2268"/>
          </w:tcPr>
          <w:p>
            <w:r/>
            <w:r>
              <w:rPr>
                <w:rFonts w:ascii="Aptos" w:hAnsi="Aptos"/>
                <w:sz w:val="18"/>
              </w:rPr>
              <w:t>Investment Cmte / Board</w:t>
            </w:r>
          </w:p>
        </w:tc>
        <w:tc>
          <w:tcPr>
            <w:tcW w:type="dxa" w:w="1134"/>
          </w:tcPr>
          <w:p>
            <w:r/>
            <w:r>
              <w:rPr>
                <w:rFonts w:ascii="Aptos" w:hAnsi="Aptos"/>
                <w:sz w:val="18"/>
              </w:rPr>
              <w:t>60 days</w:t>
            </w:r>
          </w:p>
        </w:tc>
      </w:tr>
      <w:tr>
        <w:tc>
          <w:tcPr>
            <w:tcW w:type="dxa" w:w="1701"/>
          </w:tcPr>
          <w:p>
            <w:r/>
            <w:r>
              <w:rPr>
                <w:rFonts w:ascii="Aptos" w:hAnsi="Aptos"/>
                <w:sz w:val="18"/>
              </w:rPr>
              <w:t>Sole source (any value)</w:t>
            </w:r>
          </w:p>
        </w:tc>
        <w:tc>
          <w:tcPr>
            <w:tcW w:type="dxa" w:w="2551"/>
          </w:tcPr>
          <w:p>
            <w:r/>
            <w:r>
              <w:rPr>
                <w:rFonts w:ascii="Aptos" w:hAnsi="Aptos"/>
                <w:sz w:val="18"/>
              </w:rPr>
              <w:t>Justification memo + 2nd-line review</w:t>
            </w:r>
          </w:p>
        </w:tc>
        <w:tc>
          <w:tcPr>
            <w:tcW w:type="dxa" w:w="850"/>
          </w:tcPr>
          <w:p>
            <w:r/>
            <w:r>
              <w:rPr>
                <w:rFonts w:ascii="Aptos" w:hAnsi="Aptos"/>
                <w:sz w:val="18"/>
              </w:rPr>
              <w:t>N/A</w:t>
            </w:r>
          </w:p>
        </w:tc>
        <w:tc>
          <w:tcPr>
            <w:tcW w:type="dxa" w:w="2268"/>
          </w:tcPr>
          <w:p>
            <w:r/>
            <w:r>
              <w:rPr>
                <w:rFonts w:ascii="Aptos" w:hAnsi="Aptos"/>
                <w:sz w:val="18"/>
              </w:rPr>
              <w:t>Group CPO + GC</w:t>
            </w:r>
          </w:p>
        </w:tc>
        <w:tc>
          <w:tcPr>
            <w:tcW w:type="dxa" w:w="1134"/>
          </w:tcPr>
          <w:p>
            <w:r/>
            <w:r>
              <w:rPr>
                <w:rFonts w:ascii="Aptos" w:hAnsi="Aptos"/>
                <w:sz w:val="18"/>
              </w:rPr>
              <w:t>Per case</w:t>
            </w:r>
          </w:p>
        </w:tc>
      </w:tr>
    </w:tbl>
    <w:p>
      <w:pPr>
        <w:spacing w:after="120" w:line="276" w:lineRule="auto"/>
      </w:pPr>
      <w:r>
        <w:rPr>
          <w:rFonts w:ascii="Aptos" w:hAnsi="Aptos"/>
          <w:b/>
          <w:i w:val="0"/>
          <w:sz w:val="24"/>
        </w:rPr>
        <w:t>5.3 Vendor Onboarding &amp; Due Diligence</w:t>
      </w:r>
    </w:p>
    <w:p>
      <w:pPr>
        <w:spacing w:after="120" w:line="276" w:lineRule="auto"/>
      </w:pPr>
      <w:r>
        <w:rPr>
          <w:rFonts w:ascii="Aptos" w:hAnsi="Aptos"/>
          <w:b w:val="0"/>
          <w:i w:val="0"/>
          <w:sz w:val="20"/>
        </w:rPr>
        <w:t>All new vendors are subject to:</w:t>
      </w:r>
    </w:p>
    <w:p>
      <w:pPr>
        <w:pStyle w:val="ListBullet"/>
        <w:spacing w:after="60"/>
      </w:pPr>
      <w:r>
        <w:rPr>
          <w:rFonts w:ascii="Aptos" w:hAnsi="Aptos"/>
          <w:sz w:val="20"/>
        </w:rPr>
        <w:t>Identity &amp; beneficial ownership verification (KYV) per AML / CFT standards</w:t>
      </w:r>
    </w:p>
    <w:p>
      <w:pPr>
        <w:pStyle w:val="ListBullet"/>
        <w:spacing w:after="60"/>
      </w:pPr>
      <w:r>
        <w:rPr>
          <w:rFonts w:ascii="Aptos" w:hAnsi="Aptos"/>
          <w:sz w:val="20"/>
        </w:rPr>
        <w:t>Sanctions screening (Refinitiv World-Check) — refreshed quarterly throughout the relationship</w:t>
      </w:r>
    </w:p>
    <w:p>
      <w:pPr>
        <w:pStyle w:val="ListBullet"/>
        <w:spacing w:after="60"/>
      </w:pPr>
      <w:r>
        <w:rPr>
          <w:rFonts w:ascii="Aptos" w:hAnsi="Aptos"/>
          <w:sz w:val="20"/>
        </w:rPr>
        <w:t>Anti-Bribery &amp; Corruption certification (signed)</w:t>
      </w:r>
    </w:p>
    <w:p>
      <w:pPr>
        <w:pStyle w:val="ListBullet"/>
        <w:spacing w:after="60"/>
      </w:pPr>
      <w:r>
        <w:rPr>
          <w:rFonts w:ascii="Aptos" w:hAnsi="Aptos"/>
          <w:sz w:val="20"/>
        </w:rPr>
        <w:t>Modern Slavery &amp; Forced Labour declaration (UK MSA aligned)</w:t>
      </w:r>
    </w:p>
    <w:p>
      <w:pPr>
        <w:pStyle w:val="ListBullet"/>
        <w:spacing w:after="60"/>
      </w:pPr>
      <w:r>
        <w:rPr>
          <w:rFonts w:ascii="Aptos" w:hAnsi="Aptos"/>
          <w:sz w:val="20"/>
        </w:rPr>
        <w:t>ESG self-assessment via EcoVadis (mandatory for vendors &gt; MYR 500K p.a.)</w:t>
      </w:r>
    </w:p>
    <w:p>
      <w:pPr>
        <w:pStyle w:val="ListBullet"/>
        <w:spacing w:after="60"/>
      </w:pPr>
      <w:r>
        <w:rPr>
          <w:rFonts w:ascii="Aptos" w:hAnsi="Aptos"/>
          <w:sz w:val="20"/>
        </w:rPr>
        <w:t>Cybersecurity assessment (mandatory for vendors handling Group data — SIG Lite questionnaire)</w:t>
      </w:r>
    </w:p>
    <w:p>
      <w:pPr>
        <w:pStyle w:val="ListBullet"/>
        <w:spacing w:after="60"/>
      </w:pPr>
      <w:r>
        <w:rPr>
          <w:rFonts w:ascii="Aptos" w:hAnsi="Aptos"/>
          <w:sz w:val="20"/>
        </w:rPr>
        <w:t>Financial-health screening (Bureau Van Dijk / Dun &amp; Bradstreet)</w:t>
      </w:r>
    </w:p>
    <w:p>
      <w:pPr>
        <w:spacing w:after="120" w:line="276" w:lineRule="auto"/>
      </w:pPr>
      <w:r>
        <w:rPr>
          <w:rFonts w:ascii="Aptos" w:hAnsi="Aptos"/>
          <w:b/>
          <w:i w:val="0"/>
          <w:sz w:val="24"/>
        </w:rPr>
        <w:t>5.4 Conflict of Interest in Procurement</w:t>
      </w:r>
    </w:p>
    <w:p>
      <w:pPr>
        <w:spacing w:after="120" w:line="276" w:lineRule="auto"/>
      </w:pPr>
      <w:r>
        <w:rPr>
          <w:rFonts w:ascii="Aptos" w:hAnsi="Aptos"/>
          <w:b w:val="0"/>
          <w:i w:val="0"/>
          <w:sz w:val="20"/>
        </w:rPr>
        <w:t>Personnel involved in any procurement decision shall declare any relationship — direct or through immediate family — with any participating vendor. Undeclared conflicts are a serious disciplinary offence (refer §2.7).</w:t>
      </w:r>
    </w:p>
    <w:p>
      <w:pPr>
        <w:spacing w:after="120" w:line="276" w:lineRule="auto"/>
      </w:pPr>
      <w:r>
        <w:rPr>
          <w:rFonts w:ascii="Aptos" w:hAnsi="Aptos"/>
          <w:b/>
          <w:i w:val="0"/>
          <w:sz w:val="24"/>
        </w:rPr>
        <w:t>5.5 Supplier Performance Management</w:t>
      </w:r>
    </w:p>
    <w:p>
      <w:pPr>
        <w:spacing w:after="120" w:line="276" w:lineRule="auto"/>
      </w:pPr>
      <w:r>
        <w:rPr>
          <w:rFonts w:ascii="Aptos" w:hAnsi="Aptos"/>
          <w:b w:val="0"/>
          <w:i w:val="0"/>
          <w:sz w:val="20"/>
        </w:rPr>
        <w:t>Strategic and Critical vendors (Tier 1, accounting for ~80% of spend) are subject to quarterly business reviews against contractual KPIs covering quality, delivery, cost, innovation, ESG and security. Underperformance triggers a 90-day remediation plan; persistent underperformance triggers debarment review.</w:t>
      </w:r>
    </w:p>
    <w:p>
      <w:r>
        <w:br w:type="page"/>
      </w:r>
    </w:p>
    <w:p>
      <w:pPr>
        <w:keepNext/>
        <w:spacing w:before="360" w:after="120"/>
      </w:pPr>
      <w:r>
        <w:rPr>
          <w:rFonts w:ascii="Aptos" w:hAnsi="Aptos"/>
          <w:b/>
          <w:color w:val="1F4E79"/>
          <w:sz w:val="40"/>
        </w:rPr>
        <w:t>6. Data Privacy &amp; Protection</w:t>
      </w:r>
    </w:p>
    <w:p>
      <w:pPr>
        <w:spacing w:after="120" w:line="276" w:lineRule="auto"/>
      </w:pPr>
      <w:r>
        <w:rPr>
          <w:rFonts w:ascii="Aptos" w:hAnsi="Aptos"/>
          <w:b/>
          <w:i w:val="0"/>
          <w:sz w:val="24"/>
        </w:rPr>
        <w:t>6.1 Regulatory Framework</w:t>
      </w:r>
    </w:p>
    <w:p>
      <w:pPr>
        <w:spacing w:after="120" w:line="276" w:lineRule="auto"/>
      </w:pPr>
      <w:r>
        <w:rPr>
          <w:rFonts w:ascii="Aptos" w:hAnsi="Aptos"/>
          <w:b w:val="0"/>
          <w:i w:val="0"/>
          <w:sz w:val="20"/>
        </w:rPr>
        <w:t>The Group complies with applicable personal-data legislation in each operating country, including:</w:t>
      </w:r>
    </w:p>
    <w:p>
      <w:pPr>
        <w:pStyle w:val="ListBullet"/>
        <w:spacing w:after="60"/>
      </w:pPr>
      <w:r>
        <w:rPr>
          <w:rFonts w:ascii="Aptos" w:hAnsi="Aptos"/>
          <w:sz w:val="20"/>
        </w:rPr>
        <w:t>Malaysia: Personal Data Protection Act 2010 (PDPA), as amended by the PDP Amendment Act 2024 (effective 1 June 2025), including the new Data Protection Officer and Mandatory Breach Notification provisions</w:t>
      </w:r>
    </w:p>
    <w:p>
      <w:pPr>
        <w:pStyle w:val="ListBullet"/>
        <w:spacing w:after="60"/>
      </w:pPr>
      <w:r>
        <w:rPr>
          <w:rFonts w:ascii="Aptos" w:hAnsi="Aptos"/>
          <w:sz w:val="20"/>
        </w:rPr>
        <w:t>Indonesia: Undang-Undang Pelindungan Data Pribadi (UU PDP) Law No. 27/2022 (full enforcement October 2024)</w:t>
      </w:r>
    </w:p>
    <w:p>
      <w:pPr>
        <w:pStyle w:val="ListBullet"/>
        <w:spacing w:after="60"/>
      </w:pPr>
      <w:r>
        <w:rPr>
          <w:rFonts w:ascii="Aptos" w:hAnsi="Aptos"/>
          <w:sz w:val="20"/>
        </w:rPr>
        <w:t>Singapore: Personal Data Protection Act 2012 (revised 2020), including the Do Not Call provisions</w:t>
      </w:r>
    </w:p>
    <w:p>
      <w:pPr>
        <w:pStyle w:val="ListBullet"/>
        <w:spacing w:after="60"/>
      </w:pPr>
      <w:r>
        <w:rPr>
          <w:rFonts w:ascii="Aptos" w:hAnsi="Aptos"/>
          <w:sz w:val="20"/>
        </w:rPr>
        <w:t>Thailand: Personal Data Protection Act 2019 (PDPA Thailand)</w:t>
      </w:r>
    </w:p>
    <w:p>
      <w:pPr>
        <w:pStyle w:val="ListBullet"/>
        <w:spacing w:after="60"/>
      </w:pPr>
      <w:r>
        <w:rPr>
          <w:rFonts w:ascii="Aptos" w:hAnsi="Aptos"/>
          <w:sz w:val="20"/>
        </w:rPr>
        <w:t>Vietnam: Decree 13/2023/ND-CP on Personal Data Protection</w:t>
      </w:r>
    </w:p>
    <w:p>
      <w:pPr>
        <w:pStyle w:val="ListBullet"/>
        <w:spacing w:after="60"/>
      </w:pPr>
      <w:r>
        <w:rPr>
          <w:rFonts w:ascii="Aptos" w:hAnsi="Aptos"/>
          <w:sz w:val="20"/>
        </w:rPr>
        <w:t>Philippines: Data Privacy Act 2012 (RA 10173)</w:t>
      </w:r>
    </w:p>
    <w:p>
      <w:pPr>
        <w:pStyle w:val="ListBullet"/>
        <w:spacing w:after="60"/>
      </w:pPr>
      <w:r>
        <w:rPr>
          <w:rFonts w:ascii="Aptos" w:hAnsi="Aptos"/>
          <w:sz w:val="20"/>
        </w:rPr>
        <w:t>European Economic Area: GDPR (where applicable to EU data subjects)</w:t>
      </w:r>
    </w:p>
    <w:p>
      <w:pPr>
        <w:spacing w:after="120" w:line="276" w:lineRule="auto"/>
      </w:pPr>
      <w:r>
        <w:rPr>
          <w:rFonts w:ascii="Aptos" w:hAnsi="Aptos"/>
          <w:b/>
          <w:i w:val="0"/>
          <w:sz w:val="24"/>
        </w:rPr>
        <w:t>6.2 Data Protection Principles</w:t>
      </w:r>
    </w:p>
    <w:p>
      <w:pPr>
        <w:spacing w:after="120" w:line="276" w:lineRule="auto"/>
      </w:pPr>
      <w:r>
        <w:rPr>
          <w:rFonts w:ascii="Aptos" w:hAnsi="Aptos"/>
          <w:b w:val="0"/>
          <w:i w:val="0"/>
          <w:sz w:val="20"/>
        </w:rPr>
        <w:t>All processing of personal data shall be:</w:t>
      </w:r>
    </w:p>
    <w:p>
      <w:pPr>
        <w:pStyle w:val="ListNumber"/>
        <w:spacing w:after="60"/>
      </w:pPr>
      <w:r>
        <w:rPr>
          <w:rFonts w:ascii="Aptos" w:hAnsi="Aptos"/>
          <w:sz w:val="20"/>
        </w:rPr>
        <w:t>Lawful — supported by a legitimate basis (consent, contract necessity, legal obligation, vital interest, public task or legitimate interest)</w:t>
      </w:r>
    </w:p>
    <w:p>
      <w:pPr>
        <w:pStyle w:val="ListNumber"/>
        <w:spacing w:after="60"/>
      </w:pPr>
      <w:r>
        <w:rPr>
          <w:rFonts w:ascii="Aptos" w:hAnsi="Aptos"/>
          <w:sz w:val="20"/>
        </w:rPr>
        <w:t>Fair &amp; transparent — supported by clear privacy notices in the relevant local language</w:t>
      </w:r>
    </w:p>
    <w:p>
      <w:pPr>
        <w:pStyle w:val="ListNumber"/>
        <w:spacing w:after="60"/>
      </w:pPr>
      <w:r>
        <w:rPr>
          <w:rFonts w:ascii="Aptos" w:hAnsi="Aptos"/>
          <w:sz w:val="20"/>
        </w:rPr>
        <w:t>Purpose-limited — used only for stated and compatible purposes</w:t>
      </w:r>
    </w:p>
    <w:p>
      <w:pPr>
        <w:pStyle w:val="ListNumber"/>
        <w:spacing w:after="60"/>
      </w:pPr>
      <w:r>
        <w:rPr>
          <w:rFonts w:ascii="Aptos" w:hAnsi="Aptos"/>
          <w:sz w:val="20"/>
        </w:rPr>
        <w:t>Data-minimised — limited to what is necessary for the stated purpose</w:t>
      </w:r>
    </w:p>
    <w:p>
      <w:pPr>
        <w:pStyle w:val="ListNumber"/>
        <w:spacing w:after="60"/>
      </w:pPr>
      <w:r>
        <w:rPr>
          <w:rFonts w:ascii="Aptos" w:hAnsi="Aptos"/>
          <w:sz w:val="20"/>
        </w:rPr>
        <w:t>Accurate — kept up to date with reasonable steps to correct errors</w:t>
      </w:r>
    </w:p>
    <w:p>
      <w:pPr>
        <w:pStyle w:val="ListNumber"/>
        <w:spacing w:after="60"/>
      </w:pPr>
      <w:r>
        <w:rPr>
          <w:rFonts w:ascii="Aptos" w:hAnsi="Aptos"/>
          <w:sz w:val="20"/>
        </w:rPr>
        <w:t>Time-bound — retained no longer than necessary per the Records Retention Schedule</w:t>
      </w:r>
    </w:p>
    <w:p>
      <w:pPr>
        <w:pStyle w:val="ListNumber"/>
        <w:spacing w:after="60"/>
      </w:pPr>
      <w:r>
        <w:rPr>
          <w:rFonts w:ascii="Aptos" w:hAnsi="Aptos"/>
          <w:sz w:val="20"/>
        </w:rPr>
        <w:t>Secure — protected by appropriate technical and organisational measures</w:t>
      </w:r>
    </w:p>
    <w:p>
      <w:pPr>
        <w:pStyle w:val="ListNumber"/>
        <w:spacing w:after="60"/>
      </w:pPr>
      <w:r>
        <w:rPr>
          <w:rFonts w:ascii="Aptos" w:hAnsi="Aptos"/>
          <w:sz w:val="20"/>
        </w:rPr>
        <w:t>Accountable — documented and demonstrable to regulators on request</w:t>
      </w:r>
    </w:p>
    <w:p>
      <w:pPr>
        <w:spacing w:after="120" w:line="276" w:lineRule="auto"/>
      </w:pPr>
      <w:r>
        <w:rPr>
          <w:rFonts w:ascii="Aptos" w:hAnsi="Aptos"/>
          <w:b/>
          <w:i w:val="0"/>
          <w:sz w:val="24"/>
        </w:rPr>
        <w:t>6.3 Data Subject Rights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835"/>
            <w:shd w:val="clear" w:color="auto" w:fill="1F4E79"/>
          </w:tcPr>
          <w:p>
            <w:r/>
            <w:r>
              <w:rPr>
                <w:rFonts w:ascii="Aptos" w:hAnsi="Aptos"/>
                <w:b/>
                <w:color w:val="FFFFFF"/>
                <w:sz w:val="20"/>
              </w:rPr>
              <w:t>Right</w:t>
            </w:r>
          </w:p>
        </w:tc>
        <w:tc>
          <w:tcPr>
            <w:tcW w:type="dxa" w:w="1587"/>
            <w:shd w:val="clear" w:color="auto" w:fill="1F4E79"/>
          </w:tcPr>
          <w:p>
            <w:r/>
            <w:r>
              <w:rPr>
                <w:rFonts w:ascii="Aptos" w:hAnsi="Aptos"/>
                <w:b/>
                <w:color w:val="FFFFFF"/>
                <w:sz w:val="20"/>
              </w:rPr>
              <w:t>PDPA MY</w:t>
            </w:r>
          </w:p>
        </w:tc>
        <w:tc>
          <w:tcPr>
            <w:tcW w:type="dxa" w:w="1587"/>
            <w:shd w:val="clear" w:color="auto" w:fill="1F4E79"/>
          </w:tcPr>
          <w:p>
            <w:r/>
            <w:r>
              <w:rPr>
                <w:rFonts w:ascii="Aptos" w:hAnsi="Aptos"/>
                <w:b/>
                <w:color w:val="FFFFFF"/>
                <w:sz w:val="20"/>
              </w:rPr>
              <w:t>UU PDP ID</w:t>
            </w:r>
          </w:p>
        </w:tc>
        <w:tc>
          <w:tcPr>
            <w:tcW w:type="dxa" w:w="1587"/>
            <w:shd w:val="clear" w:color="auto" w:fill="1F4E79"/>
          </w:tcPr>
          <w:p>
            <w:r/>
            <w:r>
              <w:rPr>
                <w:rFonts w:ascii="Aptos" w:hAnsi="Aptos"/>
                <w:b/>
                <w:color w:val="FFFFFF"/>
                <w:sz w:val="20"/>
              </w:rPr>
              <w:t>PDPA SG</w:t>
            </w:r>
          </w:p>
        </w:tc>
        <w:tc>
          <w:tcPr>
            <w:tcW w:type="dxa" w:w="1587"/>
            <w:shd w:val="clear" w:color="auto" w:fill="1F4E79"/>
          </w:tcPr>
          <w:p>
            <w:r/>
            <w:r>
              <w:rPr>
                <w:rFonts w:ascii="Aptos" w:hAnsi="Aptos"/>
                <w:b/>
                <w:color w:val="FFFFFF"/>
                <w:sz w:val="20"/>
              </w:rPr>
              <w:t>GDPR</w:t>
            </w:r>
          </w:p>
        </w:tc>
      </w:tr>
      <w:tr>
        <w:tc>
          <w:tcPr>
            <w:tcW w:type="dxa" w:w="2835"/>
          </w:tcPr>
          <w:p>
            <w:r/>
            <w:r>
              <w:rPr>
                <w:rFonts w:ascii="Aptos" w:hAnsi="Aptos"/>
                <w:sz w:val="18"/>
              </w:rPr>
              <w:t>Access</w:t>
            </w:r>
          </w:p>
        </w:tc>
        <w:tc>
          <w:tcPr>
            <w:tcW w:type="dxa" w:w="1587"/>
          </w:tcPr>
          <w:p>
            <w:r/>
            <w:r>
              <w:rPr>
                <w:rFonts w:ascii="Aptos" w:hAnsi="Aptos"/>
                <w:sz w:val="18"/>
              </w:rPr>
              <w:t>Yes (21 days)</w:t>
            </w:r>
          </w:p>
        </w:tc>
        <w:tc>
          <w:tcPr>
            <w:tcW w:type="dxa" w:w="1587"/>
          </w:tcPr>
          <w:p>
            <w:r/>
            <w:r>
              <w:rPr>
                <w:rFonts w:ascii="Aptos" w:hAnsi="Aptos"/>
                <w:sz w:val="18"/>
              </w:rPr>
              <w:t>Yes (3 days)</w:t>
            </w:r>
          </w:p>
        </w:tc>
        <w:tc>
          <w:tcPr>
            <w:tcW w:type="dxa" w:w="1587"/>
          </w:tcPr>
          <w:p>
            <w:r/>
            <w:r>
              <w:rPr>
                <w:rFonts w:ascii="Aptos" w:hAnsi="Aptos"/>
                <w:sz w:val="18"/>
              </w:rPr>
              <w:t>Yes (30 days)</w:t>
            </w:r>
          </w:p>
        </w:tc>
        <w:tc>
          <w:tcPr>
            <w:tcW w:type="dxa" w:w="1587"/>
          </w:tcPr>
          <w:p>
            <w:r/>
            <w:r>
              <w:rPr>
                <w:rFonts w:ascii="Aptos" w:hAnsi="Aptos"/>
                <w:sz w:val="18"/>
              </w:rPr>
              <w:t>Yes (30 days)</w:t>
            </w:r>
          </w:p>
        </w:tc>
      </w:tr>
      <w:tr>
        <w:tc>
          <w:tcPr>
            <w:tcW w:type="dxa" w:w="2835"/>
          </w:tcPr>
          <w:p>
            <w:r/>
            <w:r>
              <w:rPr>
                <w:rFonts w:ascii="Aptos" w:hAnsi="Aptos"/>
                <w:sz w:val="18"/>
              </w:rPr>
              <w:t>Correction / Rectification</w:t>
            </w:r>
          </w:p>
        </w:tc>
        <w:tc>
          <w:tcPr>
            <w:tcW w:type="dxa" w:w="1587"/>
          </w:tcPr>
          <w:p>
            <w:r/>
            <w:r>
              <w:rPr>
                <w:rFonts w:ascii="Aptos" w:hAnsi="Aptos"/>
                <w:sz w:val="18"/>
              </w:rPr>
              <w:t>Yes (21 days)</w:t>
            </w:r>
          </w:p>
        </w:tc>
        <w:tc>
          <w:tcPr>
            <w:tcW w:type="dxa" w:w="1587"/>
          </w:tcPr>
          <w:p>
            <w:r/>
            <w:r>
              <w:rPr>
                <w:rFonts w:ascii="Aptos" w:hAnsi="Aptos"/>
                <w:sz w:val="18"/>
              </w:rPr>
              <w:t>Yes (3 days)</w:t>
            </w:r>
          </w:p>
        </w:tc>
        <w:tc>
          <w:tcPr>
            <w:tcW w:type="dxa" w:w="1587"/>
          </w:tcPr>
          <w:p>
            <w:r/>
            <w:r>
              <w:rPr>
                <w:rFonts w:ascii="Aptos" w:hAnsi="Aptos"/>
                <w:sz w:val="18"/>
              </w:rPr>
              <w:t>Yes</w:t>
            </w:r>
          </w:p>
        </w:tc>
        <w:tc>
          <w:tcPr>
            <w:tcW w:type="dxa" w:w="1587"/>
          </w:tcPr>
          <w:p>
            <w:r/>
            <w:r>
              <w:rPr>
                <w:rFonts w:ascii="Aptos" w:hAnsi="Aptos"/>
                <w:sz w:val="18"/>
              </w:rPr>
              <w:t>Yes</w:t>
            </w:r>
          </w:p>
        </w:tc>
      </w:tr>
      <w:tr>
        <w:tc>
          <w:tcPr>
            <w:tcW w:type="dxa" w:w="2835"/>
          </w:tcPr>
          <w:p>
            <w:r/>
            <w:r>
              <w:rPr>
                <w:rFonts w:ascii="Aptos" w:hAnsi="Aptos"/>
                <w:sz w:val="18"/>
              </w:rPr>
              <w:t>Erasure / Right to be Forgotten</w:t>
            </w:r>
          </w:p>
        </w:tc>
        <w:tc>
          <w:tcPr>
            <w:tcW w:type="dxa" w:w="1587"/>
          </w:tcPr>
          <w:p>
            <w:r/>
            <w:r>
              <w:rPr>
                <w:rFonts w:ascii="Aptos" w:hAnsi="Aptos"/>
                <w:sz w:val="18"/>
              </w:rPr>
              <w:t>Limited</w:t>
            </w:r>
          </w:p>
        </w:tc>
        <w:tc>
          <w:tcPr>
            <w:tcW w:type="dxa" w:w="1587"/>
          </w:tcPr>
          <w:p>
            <w:r/>
            <w:r>
              <w:rPr>
                <w:rFonts w:ascii="Aptos" w:hAnsi="Aptos"/>
                <w:sz w:val="18"/>
              </w:rPr>
              <w:t>Yes</w:t>
            </w:r>
          </w:p>
        </w:tc>
        <w:tc>
          <w:tcPr>
            <w:tcW w:type="dxa" w:w="1587"/>
          </w:tcPr>
          <w:p>
            <w:r/>
            <w:r>
              <w:rPr>
                <w:rFonts w:ascii="Aptos" w:hAnsi="Aptos"/>
                <w:sz w:val="18"/>
              </w:rPr>
              <w:t>Limited</w:t>
            </w:r>
          </w:p>
        </w:tc>
        <w:tc>
          <w:tcPr>
            <w:tcW w:type="dxa" w:w="1587"/>
          </w:tcPr>
          <w:p>
            <w:r/>
            <w:r>
              <w:rPr>
                <w:rFonts w:ascii="Aptos" w:hAnsi="Aptos"/>
                <w:sz w:val="18"/>
              </w:rPr>
              <w:t>Yes</w:t>
            </w:r>
          </w:p>
        </w:tc>
      </w:tr>
      <w:tr>
        <w:tc>
          <w:tcPr>
            <w:tcW w:type="dxa" w:w="2835"/>
          </w:tcPr>
          <w:p>
            <w:r/>
            <w:r>
              <w:rPr>
                <w:rFonts w:ascii="Aptos" w:hAnsi="Aptos"/>
                <w:sz w:val="18"/>
              </w:rPr>
              <w:t>Restriction of Processing</w:t>
            </w:r>
          </w:p>
        </w:tc>
        <w:tc>
          <w:tcPr>
            <w:tcW w:type="dxa" w:w="1587"/>
          </w:tcPr>
          <w:p>
            <w:r/>
            <w:r>
              <w:rPr>
                <w:rFonts w:ascii="Aptos" w:hAnsi="Aptos"/>
                <w:sz w:val="18"/>
              </w:rPr>
              <w:t>Limited</w:t>
            </w:r>
          </w:p>
        </w:tc>
        <w:tc>
          <w:tcPr>
            <w:tcW w:type="dxa" w:w="1587"/>
          </w:tcPr>
          <w:p>
            <w:r/>
            <w:r>
              <w:rPr>
                <w:rFonts w:ascii="Aptos" w:hAnsi="Aptos"/>
                <w:sz w:val="18"/>
              </w:rPr>
              <w:t>Yes</w:t>
            </w:r>
          </w:p>
        </w:tc>
        <w:tc>
          <w:tcPr>
            <w:tcW w:type="dxa" w:w="1587"/>
          </w:tcPr>
          <w:p>
            <w:r/>
            <w:r>
              <w:rPr>
                <w:rFonts w:ascii="Aptos" w:hAnsi="Aptos"/>
                <w:sz w:val="18"/>
              </w:rPr>
              <w:t>No express right</w:t>
            </w:r>
          </w:p>
        </w:tc>
        <w:tc>
          <w:tcPr>
            <w:tcW w:type="dxa" w:w="1587"/>
          </w:tcPr>
          <w:p>
            <w:r/>
            <w:r>
              <w:rPr>
                <w:rFonts w:ascii="Aptos" w:hAnsi="Aptos"/>
                <w:sz w:val="18"/>
              </w:rPr>
              <w:t>Yes</w:t>
            </w:r>
          </w:p>
        </w:tc>
      </w:tr>
      <w:tr>
        <w:tc>
          <w:tcPr>
            <w:tcW w:type="dxa" w:w="2835"/>
          </w:tcPr>
          <w:p>
            <w:r/>
            <w:r>
              <w:rPr>
                <w:rFonts w:ascii="Aptos" w:hAnsi="Aptos"/>
                <w:sz w:val="18"/>
              </w:rPr>
              <w:t>Data Portability</w:t>
            </w:r>
          </w:p>
        </w:tc>
        <w:tc>
          <w:tcPr>
            <w:tcW w:type="dxa" w:w="1587"/>
          </w:tcPr>
          <w:p>
            <w:r/>
            <w:r>
              <w:rPr>
                <w:rFonts w:ascii="Aptos" w:hAnsi="Aptos"/>
                <w:sz w:val="18"/>
              </w:rPr>
              <w:t>No express right</w:t>
            </w:r>
          </w:p>
        </w:tc>
        <w:tc>
          <w:tcPr>
            <w:tcW w:type="dxa" w:w="1587"/>
          </w:tcPr>
          <w:p>
            <w:r/>
            <w:r>
              <w:rPr>
                <w:rFonts w:ascii="Aptos" w:hAnsi="Aptos"/>
                <w:sz w:val="18"/>
              </w:rPr>
              <w:t>Yes</w:t>
            </w:r>
          </w:p>
        </w:tc>
        <w:tc>
          <w:tcPr>
            <w:tcW w:type="dxa" w:w="1587"/>
          </w:tcPr>
          <w:p>
            <w:r/>
            <w:r>
              <w:rPr>
                <w:rFonts w:ascii="Aptos" w:hAnsi="Aptos"/>
                <w:sz w:val="18"/>
              </w:rPr>
              <w:t>Yes (in transition)</w:t>
            </w:r>
          </w:p>
        </w:tc>
        <w:tc>
          <w:tcPr>
            <w:tcW w:type="dxa" w:w="1587"/>
          </w:tcPr>
          <w:p>
            <w:r/>
            <w:r>
              <w:rPr>
                <w:rFonts w:ascii="Aptos" w:hAnsi="Aptos"/>
                <w:sz w:val="18"/>
              </w:rPr>
              <w:t>Yes</w:t>
            </w:r>
          </w:p>
        </w:tc>
      </w:tr>
      <w:tr>
        <w:tc>
          <w:tcPr>
            <w:tcW w:type="dxa" w:w="2835"/>
          </w:tcPr>
          <w:p>
            <w:r/>
            <w:r>
              <w:rPr>
                <w:rFonts w:ascii="Aptos" w:hAnsi="Aptos"/>
                <w:sz w:val="18"/>
              </w:rPr>
              <w:t>Object to Processing</w:t>
            </w:r>
          </w:p>
        </w:tc>
        <w:tc>
          <w:tcPr>
            <w:tcW w:type="dxa" w:w="1587"/>
          </w:tcPr>
          <w:p>
            <w:r/>
            <w:r>
              <w:rPr>
                <w:rFonts w:ascii="Aptos" w:hAnsi="Aptos"/>
                <w:sz w:val="18"/>
              </w:rPr>
              <w:t>Yes</w:t>
            </w:r>
          </w:p>
        </w:tc>
        <w:tc>
          <w:tcPr>
            <w:tcW w:type="dxa" w:w="1587"/>
          </w:tcPr>
          <w:p>
            <w:r/>
            <w:r>
              <w:rPr>
                <w:rFonts w:ascii="Aptos" w:hAnsi="Aptos"/>
                <w:sz w:val="18"/>
              </w:rPr>
              <w:t>Yes</w:t>
            </w:r>
          </w:p>
        </w:tc>
        <w:tc>
          <w:tcPr>
            <w:tcW w:type="dxa" w:w="1587"/>
          </w:tcPr>
          <w:p>
            <w:r/>
            <w:r>
              <w:rPr>
                <w:rFonts w:ascii="Aptos" w:hAnsi="Aptos"/>
                <w:sz w:val="18"/>
              </w:rPr>
              <w:t>Limited</w:t>
            </w:r>
          </w:p>
        </w:tc>
        <w:tc>
          <w:tcPr>
            <w:tcW w:type="dxa" w:w="1587"/>
          </w:tcPr>
          <w:p>
            <w:r/>
            <w:r>
              <w:rPr>
                <w:rFonts w:ascii="Aptos" w:hAnsi="Aptos"/>
                <w:sz w:val="18"/>
              </w:rPr>
              <w:t>Yes</w:t>
            </w:r>
          </w:p>
        </w:tc>
      </w:tr>
      <w:tr>
        <w:tc>
          <w:tcPr>
            <w:tcW w:type="dxa" w:w="2835"/>
          </w:tcPr>
          <w:p>
            <w:r/>
            <w:r>
              <w:rPr>
                <w:rFonts w:ascii="Aptos" w:hAnsi="Aptos"/>
                <w:sz w:val="18"/>
              </w:rPr>
              <w:t>Object to Automated Decision-Making</w:t>
            </w:r>
          </w:p>
        </w:tc>
        <w:tc>
          <w:tcPr>
            <w:tcW w:type="dxa" w:w="1587"/>
          </w:tcPr>
          <w:p>
            <w:r/>
            <w:r>
              <w:rPr>
                <w:rFonts w:ascii="Aptos" w:hAnsi="Aptos"/>
                <w:sz w:val="18"/>
              </w:rPr>
              <w:t>Limited</w:t>
            </w:r>
          </w:p>
        </w:tc>
        <w:tc>
          <w:tcPr>
            <w:tcW w:type="dxa" w:w="1587"/>
          </w:tcPr>
          <w:p>
            <w:r/>
            <w:r>
              <w:rPr>
                <w:rFonts w:ascii="Aptos" w:hAnsi="Aptos"/>
                <w:sz w:val="18"/>
              </w:rPr>
              <w:t>Yes</w:t>
            </w:r>
          </w:p>
        </w:tc>
        <w:tc>
          <w:tcPr>
            <w:tcW w:type="dxa" w:w="1587"/>
          </w:tcPr>
          <w:p>
            <w:r/>
            <w:r>
              <w:rPr>
                <w:rFonts w:ascii="Aptos" w:hAnsi="Aptos"/>
                <w:sz w:val="18"/>
              </w:rPr>
              <w:t>Limited</w:t>
            </w:r>
          </w:p>
        </w:tc>
        <w:tc>
          <w:tcPr>
            <w:tcW w:type="dxa" w:w="1587"/>
          </w:tcPr>
          <w:p>
            <w:r/>
            <w:r>
              <w:rPr>
                <w:rFonts w:ascii="Aptos" w:hAnsi="Aptos"/>
                <w:sz w:val="18"/>
              </w:rPr>
              <w:t>Yes</w:t>
            </w:r>
          </w:p>
        </w:tc>
      </w:tr>
      <w:tr>
        <w:tc>
          <w:tcPr>
            <w:tcW w:type="dxa" w:w="2835"/>
          </w:tcPr>
          <w:p>
            <w:r/>
            <w:r>
              <w:rPr>
                <w:rFonts w:ascii="Aptos" w:hAnsi="Aptos"/>
                <w:sz w:val="18"/>
              </w:rPr>
              <w:t>Withdraw Consent</w:t>
            </w:r>
          </w:p>
        </w:tc>
        <w:tc>
          <w:tcPr>
            <w:tcW w:type="dxa" w:w="1587"/>
          </w:tcPr>
          <w:p>
            <w:r/>
            <w:r>
              <w:rPr>
                <w:rFonts w:ascii="Aptos" w:hAnsi="Aptos"/>
                <w:sz w:val="18"/>
              </w:rPr>
              <w:t>Yes</w:t>
            </w:r>
          </w:p>
        </w:tc>
        <w:tc>
          <w:tcPr>
            <w:tcW w:type="dxa" w:w="1587"/>
          </w:tcPr>
          <w:p>
            <w:r/>
            <w:r>
              <w:rPr>
                <w:rFonts w:ascii="Aptos" w:hAnsi="Aptos"/>
                <w:sz w:val="18"/>
              </w:rPr>
              <w:t>Yes</w:t>
            </w:r>
          </w:p>
        </w:tc>
        <w:tc>
          <w:tcPr>
            <w:tcW w:type="dxa" w:w="1587"/>
          </w:tcPr>
          <w:p>
            <w:r/>
            <w:r>
              <w:rPr>
                <w:rFonts w:ascii="Aptos" w:hAnsi="Aptos"/>
                <w:sz w:val="18"/>
              </w:rPr>
              <w:t>Yes</w:t>
            </w:r>
          </w:p>
        </w:tc>
        <w:tc>
          <w:tcPr>
            <w:tcW w:type="dxa" w:w="1587"/>
          </w:tcPr>
          <w:p>
            <w:r/>
            <w:r>
              <w:rPr>
                <w:rFonts w:ascii="Aptos" w:hAnsi="Aptos"/>
                <w:sz w:val="18"/>
              </w:rPr>
              <w:t>Yes</w:t>
            </w:r>
          </w:p>
        </w:tc>
      </w:tr>
    </w:tbl>
    <w:p>
      <w:pPr>
        <w:spacing w:after="120" w:line="276" w:lineRule="auto"/>
      </w:pPr>
      <w:r>
        <w:rPr>
          <w:rFonts w:ascii="Aptos" w:hAnsi="Aptos"/>
          <w:b/>
          <w:i w:val="0"/>
          <w:sz w:val="24"/>
        </w:rPr>
        <w:t>6.4 Data Breach Notification</w:t>
      </w:r>
    </w:p>
    <w:p>
      <w:pPr>
        <w:spacing w:after="120" w:line="276" w:lineRule="auto"/>
      </w:pPr>
      <w:r>
        <w:rPr>
          <w:rFonts w:ascii="Aptos" w:hAnsi="Aptos"/>
          <w:b w:val="0"/>
          <w:i w:val="0"/>
          <w:sz w:val="20"/>
        </w:rPr>
        <w:t>Any actual or suspected personal-data breach must be reported to the Group Data Protection Office within twenty-four (24) hours of discovery. Onward regulatory notification timelines are:</w:t>
      </w:r>
    </w:p>
    <w:p>
      <w:pPr>
        <w:pStyle w:val="ListBullet"/>
        <w:spacing w:after="60"/>
      </w:pPr>
      <w:r>
        <w:rPr>
          <w:rFonts w:ascii="Aptos" w:hAnsi="Aptos"/>
          <w:sz w:val="20"/>
        </w:rPr>
        <w:t>Malaysia (PDPA 2024 amendment): 72 hours to JPDP if there is significant harm</w:t>
      </w:r>
    </w:p>
    <w:p>
      <w:pPr>
        <w:pStyle w:val="ListBullet"/>
        <w:spacing w:after="60"/>
      </w:pPr>
      <w:r>
        <w:rPr>
          <w:rFonts w:ascii="Aptos" w:hAnsi="Aptos"/>
          <w:sz w:val="20"/>
        </w:rPr>
        <w:t>Indonesia (UU PDP): 3 × 24 hours to the PDP Authority</w:t>
      </w:r>
    </w:p>
    <w:p>
      <w:pPr>
        <w:pStyle w:val="ListBullet"/>
        <w:spacing w:after="60"/>
      </w:pPr>
      <w:r>
        <w:rPr>
          <w:rFonts w:ascii="Aptos" w:hAnsi="Aptos"/>
          <w:sz w:val="20"/>
        </w:rPr>
        <w:t>Singapore: 72 hours to PDPC if significant scale or significant harm</w:t>
      </w:r>
    </w:p>
    <w:p>
      <w:pPr>
        <w:pStyle w:val="ListBullet"/>
        <w:spacing w:after="60"/>
      </w:pPr>
      <w:r>
        <w:rPr>
          <w:rFonts w:ascii="Aptos" w:hAnsi="Aptos"/>
          <w:sz w:val="20"/>
        </w:rPr>
        <w:t>EEA: 72 hours to lead supervisory authority (GDPR Art. 33)</w:t>
      </w:r>
    </w:p>
    <w:p>
      <w:pPr>
        <w:spacing w:after="120" w:line="276" w:lineRule="auto"/>
      </w:pPr>
      <w:r>
        <w:rPr>
          <w:rFonts w:ascii="Aptos" w:hAnsi="Aptos"/>
          <w:b/>
          <w:i w:val="0"/>
          <w:sz w:val="24"/>
        </w:rPr>
        <w:t>6.5 Cross-Border Data Transfer</w:t>
      </w:r>
    </w:p>
    <w:p>
      <w:pPr>
        <w:spacing w:after="120" w:line="276" w:lineRule="auto"/>
      </w:pPr>
      <w:r>
        <w:rPr>
          <w:rFonts w:ascii="Aptos" w:hAnsi="Aptos"/>
          <w:b w:val="0"/>
          <w:i w:val="0"/>
          <w:sz w:val="20"/>
        </w:rPr>
        <w:t>Transfers outside the country of origin require: a legitimate basis; an adequate level of protection in the destination country (white-list reliance, where available); or an appropriate safeguard such as Group Binding Corporate Rules (BCR), Standard Contractual Clauses (SCC), or explicit informed consent. A Transfer Impact Assessment (TIA) is required for high-risk data and high-risk destinations.</w:t>
      </w:r>
    </w:p>
    <w:p>
      <w:pPr>
        <w:spacing w:after="120" w:line="276" w:lineRule="auto"/>
      </w:pPr>
      <w:r>
        <w:rPr>
          <w:rFonts w:ascii="Aptos" w:hAnsi="Aptos"/>
          <w:b/>
          <w:i w:val="0"/>
          <w:sz w:val="24"/>
        </w:rPr>
        <w:t>6.6 AI &amp; Algorithmic Accountability</w:t>
      </w:r>
    </w:p>
    <w:p>
      <w:pPr>
        <w:spacing w:after="120" w:line="276" w:lineRule="auto"/>
      </w:pPr>
      <w:r>
        <w:rPr>
          <w:rFonts w:ascii="Aptos" w:hAnsi="Aptos"/>
          <w:b w:val="0"/>
          <w:i w:val="0"/>
          <w:sz w:val="20"/>
        </w:rPr>
        <w:t>AI-assisted processing of personal data, including generative AI tools and automated decision-making, is governed by the Group AI Use Policy (Appendix to Section 6). Key requirements: AI Use Case Register entry prior to deployment, human-in-the-loop for material decisions, fairness testing for protected characteristics, and explainability standards aligned with the EU AI Act risk tiering.</w:t>
      </w:r>
    </w:p>
    <w:p>
      <w:r>
        <w:br w:type="page"/>
      </w:r>
    </w:p>
    <w:p>
      <w:pPr>
        <w:keepNext/>
        <w:spacing w:before="360" w:after="120"/>
      </w:pPr>
      <w:r>
        <w:rPr>
          <w:rFonts w:ascii="Aptos" w:hAnsi="Aptos"/>
          <w:b/>
          <w:color w:val="1F4E79"/>
          <w:sz w:val="40"/>
        </w:rPr>
        <w:t>7. Environmental, Social &amp; Governance (ESG)</w:t>
      </w:r>
    </w:p>
    <w:p>
      <w:pPr>
        <w:spacing w:after="120" w:line="276" w:lineRule="auto"/>
      </w:pPr>
      <w:r>
        <w:rPr>
          <w:rFonts w:ascii="Aptos" w:hAnsi="Aptos"/>
          <w:b/>
          <w:i w:val="0"/>
          <w:sz w:val="24"/>
        </w:rPr>
        <w:t>7.1 Sustainability Strategy — "Zava Forward 2030"</w:t>
      </w:r>
    </w:p>
    <w:p>
      <w:pPr>
        <w:spacing w:after="120" w:line="276" w:lineRule="auto"/>
      </w:pPr>
      <w:r>
        <w:rPr>
          <w:rFonts w:ascii="Aptos" w:hAnsi="Aptos"/>
          <w:b w:val="0"/>
          <w:i w:val="0"/>
          <w:sz w:val="20"/>
        </w:rPr>
        <w:t>The Group has adopted "Zava Forward 2030" as its sustainability strategy, with three pillars: Climate Action, Inclusive Prosperity, and Trusted Stewardship. The strategy is aligned with TCFD, GRI Standards 2021, IFRS S1 / S2 (effective FY2025 reporting), Bursa Sustainability Reporting Guide v3, and the OJK Indonesia Sustainability Report regulations.</w:t>
      </w:r>
    </w:p>
    <w:p>
      <w:pPr>
        <w:spacing w:after="120" w:line="276" w:lineRule="auto"/>
      </w:pPr>
      <w:r>
        <w:rPr>
          <w:rFonts w:ascii="Aptos" w:hAnsi="Aptos"/>
          <w:b/>
          <w:i w:val="0"/>
          <w:sz w:val="24"/>
        </w:rPr>
        <w:t>7.2 Climate Targets &amp; Pathways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2835"/>
            <w:shd w:val="clear" w:color="auto" w:fill="1F4E79"/>
          </w:tcPr>
          <w:p>
            <w:r/>
            <w:r>
              <w:rPr>
                <w:rFonts w:ascii="Aptos" w:hAnsi="Aptos"/>
                <w:b/>
                <w:color w:val="FFFFFF"/>
                <w:sz w:val="20"/>
              </w:rPr>
              <w:t>Target</w:t>
            </w:r>
          </w:p>
        </w:tc>
        <w:tc>
          <w:tcPr>
            <w:tcW w:type="dxa" w:w="1417"/>
            <w:shd w:val="clear" w:color="auto" w:fill="1F4E79"/>
          </w:tcPr>
          <w:p>
            <w:r/>
            <w:r>
              <w:rPr>
                <w:rFonts w:ascii="Aptos" w:hAnsi="Aptos"/>
                <w:b/>
                <w:color w:val="FFFFFF"/>
                <w:sz w:val="20"/>
              </w:rPr>
              <w:t>Baseline</w:t>
            </w:r>
          </w:p>
        </w:tc>
        <w:tc>
          <w:tcPr>
            <w:tcW w:type="dxa" w:w="1134"/>
            <w:shd w:val="clear" w:color="auto" w:fill="1F4E79"/>
          </w:tcPr>
          <w:p>
            <w:r/>
            <w:r>
              <w:rPr>
                <w:rFonts w:ascii="Aptos" w:hAnsi="Aptos"/>
                <w:b/>
                <w:color w:val="FFFFFF"/>
                <w:sz w:val="20"/>
              </w:rPr>
              <w:t>Interim (2030)</w:t>
            </w:r>
          </w:p>
        </w:tc>
        <w:tc>
          <w:tcPr>
            <w:tcW w:type="dxa" w:w="1417"/>
            <w:shd w:val="clear" w:color="auto" w:fill="1F4E79"/>
          </w:tcPr>
          <w:p>
            <w:r/>
            <w:r>
              <w:rPr>
                <w:rFonts w:ascii="Aptos" w:hAnsi="Aptos"/>
                <w:b/>
                <w:color w:val="FFFFFF"/>
                <w:sz w:val="20"/>
              </w:rPr>
              <w:t>Long-term (2050)</w:t>
            </w:r>
          </w:p>
        </w:tc>
        <w:tc>
          <w:tcPr>
            <w:tcW w:type="dxa" w:w="1134"/>
            <w:shd w:val="clear" w:color="auto" w:fill="1F4E79"/>
          </w:tcPr>
          <w:p>
            <w:r/>
            <w:r>
              <w:rPr>
                <w:rFonts w:ascii="Aptos" w:hAnsi="Aptos"/>
                <w:b/>
                <w:color w:val="FFFFFF"/>
                <w:sz w:val="20"/>
              </w:rPr>
              <w:t>Status FY2024</w:t>
            </w:r>
          </w:p>
        </w:tc>
        <w:tc>
          <w:tcPr>
            <w:tcW w:type="dxa" w:w="1701"/>
            <w:shd w:val="clear" w:color="auto" w:fill="1F4E79"/>
          </w:tcPr>
          <w:p>
            <w:r/>
            <w:r>
              <w:rPr>
                <w:rFonts w:ascii="Aptos" w:hAnsi="Aptos"/>
                <w:b/>
                <w:color w:val="FFFFFF"/>
                <w:sz w:val="20"/>
              </w:rPr>
              <w:t>Validation</w:t>
            </w:r>
          </w:p>
        </w:tc>
      </w:tr>
      <w:tr>
        <w:tc>
          <w:tcPr>
            <w:tcW w:type="dxa" w:w="2835"/>
          </w:tcPr>
          <w:p>
            <w:r/>
            <w:r>
              <w:rPr>
                <w:rFonts w:ascii="Aptos" w:hAnsi="Aptos"/>
                <w:sz w:val="18"/>
              </w:rPr>
              <w:t>Scope 1+2 GHG (tCO2e)</w:t>
            </w:r>
          </w:p>
        </w:tc>
        <w:tc>
          <w:tcPr>
            <w:tcW w:type="dxa" w:w="1417"/>
          </w:tcPr>
          <w:p>
            <w:r/>
            <w:r>
              <w:rPr>
                <w:rFonts w:ascii="Aptos" w:hAnsi="Aptos"/>
                <w:sz w:val="18"/>
              </w:rPr>
              <w:t>FY2019: 8.4m</w:t>
            </w:r>
          </w:p>
        </w:tc>
        <w:tc>
          <w:tcPr>
            <w:tcW w:type="dxa" w:w="1134"/>
          </w:tcPr>
          <w:p>
            <w:r/>
            <w:r>
              <w:rPr>
                <w:rFonts w:ascii="Aptos" w:hAnsi="Aptos"/>
                <w:sz w:val="18"/>
              </w:rPr>
              <w:t>−45% vs base</w:t>
            </w:r>
          </w:p>
        </w:tc>
        <w:tc>
          <w:tcPr>
            <w:tcW w:type="dxa" w:w="1417"/>
          </w:tcPr>
          <w:p>
            <w:r/>
            <w:r>
              <w:rPr>
                <w:rFonts w:ascii="Aptos" w:hAnsi="Aptos"/>
                <w:sz w:val="18"/>
              </w:rPr>
              <w:t>Net Zero</w:t>
            </w:r>
          </w:p>
        </w:tc>
        <w:tc>
          <w:tcPr>
            <w:tcW w:type="dxa" w:w="1134"/>
          </w:tcPr>
          <w:p>
            <w:r/>
            <w:r>
              <w:rPr>
                <w:rFonts w:ascii="Aptos" w:hAnsi="Aptos"/>
                <w:sz w:val="18"/>
              </w:rPr>
              <w:t>−18%</w:t>
            </w:r>
          </w:p>
        </w:tc>
        <w:tc>
          <w:tcPr>
            <w:tcW w:type="dxa" w:w="1701"/>
          </w:tcPr>
          <w:p>
            <w:r/>
            <w:r>
              <w:rPr>
                <w:rFonts w:ascii="Aptos" w:hAnsi="Aptos"/>
                <w:sz w:val="18"/>
              </w:rPr>
              <w:t>SBTi 1.5°C aligned</w:t>
            </w:r>
          </w:p>
        </w:tc>
      </w:tr>
      <w:tr>
        <w:tc>
          <w:tcPr>
            <w:tcW w:type="dxa" w:w="2835"/>
          </w:tcPr>
          <w:p>
            <w:r/>
            <w:r>
              <w:rPr>
                <w:rFonts w:ascii="Aptos" w:hAnsi="Aptos"/>
                <w:sz w:val="18"/>
              </w:rPr>
              <w:t>Scope 3 GHG (tCO2e)</w:t>
            </w:r>
          </w:p>
        </w:tc>
        <w:tc>
          <w:tcPr>
            <w:tcW w:type="dxa" w:w="1417"/>
          </w:tcPr>
          <w:p>
            <w:r/>
            <w:r>
              <w:rPr>
                <w:rFonts w:ascii="Aptos" w:hAnsi="Aptos"/>
                <w:sz w:val="18"/>
              </w:rPr>
              <w:t>FY2021: 24.1m</w:t>
            </w:r>
          </w:p>
        </w:tc>
        <w:tc>
          <w:tcPr>
            <w:tcW w:type="dxa" w:w="1134"/>
          </w:tcPr>
          <w:p>
            <w:r/>
            <w:r>
              <w:rPr>
                <w:rFonts w:ascii="Aptos" w:hAnsi="Aptos"/>
                <w:sz w:val="18"/>
              </w:rPr>
              <w:t>−25% vs base</w:t>
            </w:r>
          </w:p>
        </w:tc>
        <w:tc>
          <w:tcPr>
            <w:tcW w:type="dxa" w:w="1417"/>
          </w:tcPr>
          <w:p>
            <w:r/>
            <w:r>
              <w:rPr>
                <w:rFonts w:ascii="Aptos" w:hAnsi="Aptos"/>
                <w:sz w:val="18"/>
              </w:rPr>
              <w:t>Net Zero</w:t>
            </w:r>
          </w:p>
        </w:tc>
        <w:tc>
          <w:tcPr>
            <w:tcW w:type="dxa" w:w="1134"/>
          </w:tcPr>
          <w:p>
            <w:r/>
            <w:r>
              <w:rPr>
                <w:rFonts w:ascii="Aptos" w:hAnsi="Aptos"/>
                <w:sz w:val="18"/>
              </w:rPr>
              <w:t>−7%</w:t>
            </w:r>
          </w:p>
        </w:tc>
        <w:tc>
          <w:tcPr>
            <w:tcW w:type="dxa" w:w="1701"/>
          </w:tcPr>
          <w:p>
            <w:r/>
            <w:r>
              <w:rPr>
                <w:rFonts w:ascii="Aptos" w:hAnsi="Aptos"/>
                <w:sz w:val="18"/>
              </w:rPr>
              <w:t>SBTi-FLAG</w:t>
            </w:r>
          </w:p>
        </w:tc>
      </w:tr>
      <w:tr>
        <w:tc>
          <w:tcPr>
            <w:tcW w:type="dxa" w:w="2835"/>
          </w:tcPr>
          <w:p>
            <w:r/>
            <w:r>
              <w:rPr>
                <w:rFonts w:ascii="Aptos" w:hAnsi="Aptos"/>
                <w:sz w:val="18"/>
              </w:rPr>
              <w:t>Renewable electricity</w:t>
            </w:r>
          </w:p>
        </w:tc>
        <w:tc>
          <w:tcPr>
            <w:tcW w:type="dxa" w:w="1417"/>
          </w:tcPr>
          <w:p>
            <w:r/>
            <w:r>
              <w:rPr>
                <w:rFonts w:ascii="Aptos" w:hAnsi="Aptos"/>
                <w:sz w:val="18"/>
              </w:rPr>
              <w:t>11% (FY2019)</w:t>
            </w:r>
          </w:p>
        </w:tc>
        <w:tc>
          <w:tcPr>
            <w:tcW w:type="dxa" w:w="1134"/>
          </w:tcPr>
          <w:p>
            <w:r/>
            <w:r>
              <w:rPr>
                <w:rFonts w:ascii="Aptos" w:hAnsi="Aptos"/>
                <w:sz w:val="18"/>
              </w:rPr>
              <w:t>70%</w:t>
            </w:r>
          </w:p>
        </w:tc>
        <w:tc>
          <w:tcPr>
            <w:tcW w:type="dxa" w:w="1417"/>
          </w:tcPr>
          <w:p>
            <w:r/>
            <w:r>
              <w:rPr>
                <w:rFonts w:ascii="Aptos" w:hAnsi="Aptos"/>
                <w:sz w:val="18"/>
              </w:rPr>
              <w:t>100%</w:t>
            </w:r>
          </w:p>
        </w:tc>
        <w:tc>
          <w:tcPr>
            <w:tcW w:type="dxa" w:w="1134"/>
          </w:tcPr>
          <w:p>
            <w:r/>
            <w:r>
              <w:rPr>
                <w:rFonts w:ascii="Aptos" w:hAnsi="Aptos"/>
                <w:sz w:val="18"/>
              </w:rPr>
              <w:t>34%</w:t>
            </w:r>
          </w:p>
        </w:tc>
        <w:tc>
          <w:tcPr>
            <w:tcW w:type="dxa" w:w="1701"/>
          </w:tcPr>
          <w:p>
            <w:r/>
            <w:r>
              <w:rPr>
                <w:rFonts w:ascii="Aptos" w:hAnsi="Aptos"/>
                <w:sz w:val="18"/>
              </w:rPr>
              <w:t>RE100 commitment</w:t>
            </w:r>
          </w:p>
        </w:tc>
      </w:tr>
      <w:tr>
        <w:tc>
          <w:tcPr>
            <w:tcW w:type="dxa" w:w="2835"/>
          </w:tcPr>
          <w:p>
            <w:r/>
            <w:r>
              <w:rPr>
                <w:rFonts w:ascii="Aptos" w:hAnsi="Aptos"/>
                <w:sz w:val="18"/>
              </w:rPr>
              <w:t>Water withdrawal (high-stress areas)</w:t>
            </w:r>
          </w:p>
        </w:tc>
        <w:tc>
          <w:tcPr>
            <w:tcW w:type="dxa" w:w="1417"/>
          </w:tcPr>
          <w:p>
            <w:r/>
            <w:r>
              <w:rPr>
                <w:rFonts w:ascii="Aptos" w:hAnsi="Aptos"/>
                <w:sz w:val="18"/>
              </w:rPr>
              <w:t>FY2019: 12.4 ML</w:t>
            </w:r>
          </w:p>
        </w:tc>
        <w:tc>
          <w:tcPr>
            <w:tcW w:type="dxa" w:w="1134"/>
          </w:tcPr>
          <w:p>
            <w:r/>
            <w:r>
              <w:rPr>
                <w:rFonts w:ascii="Aptos" w:hAnsi="Aptos"/>
                <w:sz w:val="18"/>
              </w:rPr>
              <w:t>−35%</w:t>
            </w:r>
          </w:p>
        </w:tc>
        <w:tc>
          <w:tcPr>
            <w:tcW w:type="dxa" w:w="1417"/>
          </w:tcPr>
          <w:p>
            <w:r/>
            <w:r>
              <w:rPr>
                <w:rFonts w:ascii="Aptos" w:hAnsi="Aptos"/>
                <w:sz w:val="18"/>
              </w:rPr>
              <w:t>−50%</w:t>
            </w:r>
          </w:p>
        </w:tc>
        <w:tc>
          <w:tcPr>
            <w:tcW w:type="dxa" w:w="1134"/>
          </w:tcPr>
          <w:p>
            <w:r/>
            <w:r>
              <w:rPr>
                <w:rFonts w:ascii="Aptos" w:hAnsi="Aptos"/>
                <w:sz w:val="18"/>
              </w:rPr>
              <w:t>−14%</w:t>
            </w:r>
          </w:p>
        </w:tc>
        <w:tc>
          <w:tcPr>
            <w:tcW w:type="dxa" w:w="1701"/>
          </w:tcPr>
          <w:p>
            <w:r/>
            <w:r>
              <w:rPr>
                <w:rFonts w:ascii="Aptos" w:hAnsi="Aptos"/>
                <w:sz w:val="18"/>
              </w:rPr>
              <w:t>CDP Water</w:t>
            </w:r>
          </w:p>
        </w:tc>
      </w:tr>
      <w:tr>
        <w:tc>
          <w:tcPr>
            <w:tcW w:type="dxa" w:w="2835"/>
          </w:tcPr>
          <w:p>
            <w:r/>
            <w:r>
              <w:rPr>
                <w:rFonts w:ascii="Aptos" w:hAnsi="Aptos"/>
                <w:sz w:val="18"/>
              </w:rPr>
              <w:t>Waste diverted from landfill</w:t>
            </w:r>
          </w:p>
        </w:tc>
        <w:tc>
          <w:tcPr>
            <w:tcW w:type="dxa" w:w="1417"/>
          </w:tcPr>
          <w:p>
            <w:r/>
            <w:r>
              <w:rPr>
                <w:rFonts w:ascii="Aptos" w:hAnsi="Aptos"/>
                <w:sz w:val="18"/>
              </w:rPr>
              <w:t>FY2019: 41%</w:t>
            </w:r>
          </w:p>
        </w:tc>
        <w:tc>
          <w:tcPr>
            <w:tcW w:type="dxa" w:w="1134"/>
          </w:tcPr>
          <w:p>
            <w:r/>
            <w:r>
              <w:rPr>
                <w:rFonts w:ascii="Aptos" w:hAnsi="Aptos"/>
                <w:sz w:val="18"/>
              </w:rPr>
              <w:t>85%</w:t>
            </w:r>
          </w:p>
        </w:tc>
        <w:tc>
          <w:tcPr>
            <w:tcW w:type="dxa" w:w="1417"/>
          </w:tcPr>
          <w:p>
            <w:r/>
            <w:r>
              <w:rPr>
                <w:rFonts w:ascii="Aptos" w:hAnsi="Aptos"/>
                <w:sz w:val="18"/>
              </w:rPr>
              <w:t>95%</w:t>
            </w:r>
          </w:p>
        </w:tc>
        <w:tc>
          <w:tcPr>
            <w:tcW w:type="dxa" w:w="1134"/>
          </w:tcPr>
          <w:p>
            <w:r/>
            <w:r>
              <w:rPr>
                <w:rFonts w:ascii="Aptos" w:hAnsi="Aptos"/>
                <w:sz w:val="18"/>
              </w:rPr>
              <w:t>67%</w:t>
            </w:r>
          </w:p>
        </w:tc>
        <w:tc>
          <w:tcPr>
            <w:tcW w:type="dxa" w:w="1701"/>
          </w:tcPr>
          <w:p>
            <w:r/>
            <w:r>
              <w:rPr>
                <w:rFonts w:ascii="Aptos" w:hAnsi="Aptos"/>
                <w:sz w:val="18"/>
              </w:rPr>
              <w:t>Internal</w:t>
            </w:r>
          </w:p>
        </w:tc>
      </w:tr>
      <w:tr>
        <w:tc>
          <w:tcPr>
            <w:tcW w:type="dxa" w:w="2835"/>
          </w:tcPr>
          <w:p>
            <w:r/>
            <w:r>
              <w:rPr>
                <w:rFonts w:ascii="Aptos" w:hAnsi="Aptos"/>
                <w:sz w:val="18"/>
              </w:rPr>
              <w:t>Plantation NDPE compliance (Agri div)</w:t>
            </w:r>
          </w:p>
        </w:tc>
        <w:tc>
          <w:tcPr>
            <w:tcW w:type="dxa" w:w="1417"/>
          </w:tcPr>
          <w:p>
            <w:r/>
            <w:r>
              <w:rPr>
                <w:rFonts w:ascii="Aptos" w:hAnsi="Aptos"/>
                <w:sz w:val="18"/>
              </w:rPr>
              <w:t>78% (FY2020)</w:t>
            </w:r>
          </w:p>
        </w:tc>
        <w:tc>
          <w:tcPr>
            <w:tcW w:type="dxa" w:w="1134"/>
          </w:tcPr>
          <w:p>
            <w:r/>
            <w:r>
              <w:rPr>
                <w:rFonts w:ascii="Aptos" w:hAnsi="Aptos"/>
                <w:sz w:val="18"/>
              </w:rPr>
              <w:t>100%</w:t>
            </w:r>
          </w:p>
        </w:tc>
        <w:tc>
          <w:tcPr>
            <w:tcW w:type="dxa" w:w="1417"/>
          </w:tcPr>
          <w:p>
            <w:r/>
            <w:r>
              <w:rPr>
                <w:rFonts w:ascii="Aptos" w:hAnsi="Aptos"/>
                <w:sz w:val="18"/>
              </w:rPr>
              <w:t>Maintain</w:t>
            </w:r>
          </w:p>
        </w:tc>
        <w:tc>
          <w:tcPr>
            <w:tcW w:type="dxa" w:w="1134"/>
          </w:tcPr>
          <w:p>
            <w:r/>
            <w:r>
              <w:rPr>
                <w:rFonts w:ascii="Aptos" w:hAnsi="Aptos"/>
                <w:sz w:val="18"/>
              </w:rPr>
              <w:t>94%</w:t>
            </w:r>
          </w:p>
        </w:tc>
        <w:tc>
          <w:tcPr>
            <w:tcW w:type="dxa" w:w="1701"/>
          </w:tcPr>
          <w:p>
            <w:r/>
            <w:r>
              <w:rPr>
                <w:rFonts w:ascii="Aptos" w:hAnsi="Aptos"/>
                <w:sz w:val="18"/>
              </w:rPr>
              <w:t>RSPO + ZSL SPOTT</w:t>
            </w:r>
          </w:p>
        </w:tc>
      </w:tr>
    </w:tbl>
    <w:p>
      <w:pPr>
        <w:spacing w:after="120" w:line="276" w:lineRule="auto"/>
      </w:pPr>
      <w:r>
        <w:rPr>
          <w:rFonts w:ascii="Aptos" w:hAnsi="Aptos"/>
          <w:b/>
          <w:i w:val="0"/>
          <w:sz w:val="24"/>
        </w:rPr>
        <w:t>7.3 Just Transition &amp; Social Pillar</w:t>
      </w:r>
    </w:p>
    <w:p>
      <w:pPr>
        <w:spacing w:after="120" w:line="276" w:lineRule="auto"/>
      </w:pPr>
      <w:r>
        <w:rPr>
          <w:rFonts w:ascii="Aptos" w:hAnsi="Aptos"/>
          <w:b w:val="0"/>
          <w:i w:val="0"/>
          <w:sz w:val="20"/>
        </w:rPr>
        <w:t>The Group is committed to a just transition that prioritises:</w:t>
      </w:r>
    </w:p>
    <w:p>
      <w:pPr>
        <w:pStyle w:val="ListBullet"/>
        <w:spacing w:after="60"/>
      </w:pPr>
      <w:r>
        <w:rPr>
          <w:rFonts w:ascii="Aptos" w:hAnsi="Aptos"/>
          <w:sz w:val="20"/>
        </w:rPr>
        <w:t>Reskilling at-risk roles (e.g., legacy energy operations) through the Zava Reskilling Fund (MYR 60M committed FY2025-2027)</w:t>
      </w:r>
    </w:p>
    <w:p>
      <w:pPr>
        <w:pStyle w:val="ListBullet"/>
        <w:spacing w:after="60"/>
      </w:pPr>
      <w:r>
        <w:rPr>
          <w:rFonts w:ascii="Aptos" w:hAnsi="Aptos"/>
          <w:sz w:val="20"/>
        </w:rPr>
        <w:t>Living wage certification across direct workforce by FY2026 (Fair Wage Network methodology)</w:t>
      </w:r>
    </w:p>
    <w:p>
      <w:pPr>
        <w:pStyle w:val="ListBullet"/>
        <w:spacing w:after="60"/>
      </w:pPr>
      <w:r>
        <w:rPr>
          <w:rFonts w:ascii="Aptos" w:hAnsi="Aptos"/>
          <w:sz w:val="20"/>
        </w:rPr>
        <w:t>Community development MYR 50M annual minimum (target ROI &gt; 3× via SROI methodology)</w:t>
      </w:r>
    </w:p>
    <w:p>
      <w:pPr>
        <w:pStyle w:val="ListBullet"/>
        <w:spacing w:after="60"/>
      </w:pPr>
      <w:r>
        <w:rPr>
          <w:rFonts w:ascii="Aptos" w:hAnsi="Aptos"/>
          <w:sz w:val="20"/>
        </w:rPr>
        <w:t>Indigenous community consent (FPIC) for any plantation, infrastructure or extractive project</w:t>
      </w:r>
    </w:p>
    <w:p>
      <w:pPr>
        <w:spacing w:after="120" w:line="276" w:lineRule="auto"/>
      </w:pPr>
      <w:r>
        <w:rPr>
          <w:rFonts w:ascii="Aptos" w:hAnsi="Aptos"/>
          <w:b/>
          <w:i w:val="0"/>
          <w:sz w:val="24"/>
        </w:rPr>
        <w:t>7.4 Climate-related Financial Disclosures</w:t>
      </w:r>
    </w:p>
    <w:p>
      <w:pPr>
        <w:spacing w:after="120" w:line="276" w:lineRule="auto"/>
      </w:pPr>
      <w:r>
        <w:rPr>
          <w:rFonts w:ascii="Aptos" w:hAnsi="Aptos"/>
          <w:b w:val="0"/>
          <w:i w:val="0"/>
          <w:sz w:val="20"/>
        </w:rPr>
        <w:t>The Group discloses climate-related financial information per TCFD across Governance, Strategy, Risk Management and Metrics &amp; Targets. Scenario analysis has been conducted under three pathways: orderly transition (NGFS Net Zero 2050), disorderly transition (NGFS Delayed), and hot-house (NGFS Current Policies), at 2030 and 2050 horizons. Identified financial impacts are reflected in long-range capital allocation and division-level strategy reviews.</w:t>
      </w:r>
    </w:p>
    <w:p>
      <w:pPr>
        <w:spacing w:after="120" w:line="276" w:lineRule="auto"/>
      </w:pPr>
      <w:r>
        <w:rPr>
          <w:rFonts w:ascii="Aptos" w:hAnsi="Aptos"/>
          <w:b/>
          <w:i w:val="0"/>
          <w:sz w:val="24"/>
        </w:rPr>
        <w:t>7.5 Sustainability-Linked Financing</w:t>
      </w:r>
    </w:p>
    <w:p>
      <w:pPr>
        <w:spacing w:after="120" w:line="276" w:lineRule="auto"/>
      </w:pPr>
      <w:r>
        <w:rPr>
          <w:rFonts w:ascii="Aptos" w:hAnsi="Aptos"/>
          <w:b w:val="0"/>
          <w:i w:val="0"/>
          <w:sz w:val="20"/>
        </w:rPr>
        <w:t>The Group has issued / drawn the following sustainability-linked instruments:</w:t>
      </w:r>
    </w:p>
    <w:p>
      <w:pPr>
        <w:pStyle w:val="ListBullet"/>
        <w:spacing w:after="60"/>
      </w:pPr>
      <w:r>
        <w:rPr>
          <w:rFonts w:ascii="Aptos" w:hAnsi="Aptos"/>
          <w:sz w:val="20"/>
        </w:rPr>
        <w:t>MYR 1.5 billion Sustainability-Linked Loan (FY2023, 5-year), pricing tied to Scope 1+2 reduction milestones (12.5 bps step-up if missed)</w:t>
      </w:r>
    </w:p>
    <w:p>
      <w:pPr>
        <w:pStyle w:val="ListBullet"/>
        <w:spacing w:after="60"/>
      </w:pPr>
      <w:r>
        <w:rPr>
          <w:rFonts w:ascii="Aptos" w:hAnsi="Aptos"/>
          <w:sz w:val="20"/>
        </w:rPr>
        <w:t>MYR 600 million Green Sukuk (FY2024), proceeds dedicated to renewable-energy capex (audited by Sustainalytics)</w:t>
      </w:r>
    </w:p>
    <w:p>
      <w:pPr>
        <w:pStyle w:val="ListBullet"/>
        <w:spacing w:after="60"/>
      </w:pPr>
      <w:r>
        <w:rPr>
          <w:rFonts w:ascii="Aptos" w:hAnsi="Aptos"/>
          <w:sz w:val="20"/>
        </w:rPr>
        <w:t>USD 200 million Transition Bond (FY2024), proceeds dedicated to low-carbon refinery upgrades and electrification of agri operations</w:t>
      </w:r>
    </w:p>
    <w:p>
      <w:r>
        <w:br w:type="page"/>
      </w:r>
    </w:p>
    <w:p>
      <w:pPr>
        <w:keepNext/>
        <w:spacing w:before="360" w:after="120"/>
      </w:pPr>
      <w:r>
        <w:rPr>
          <w:rFonts w:ascii="Aptos" w:hAnsi="Aptos"/>
          <w:b/>
          <w:color w:val="1F4E79"/>
          <w:sz w:val="40"/>
        </w:rPr>
        <w:t>8. Health, Safety &amp; Environment (HSE)</w:t>
      </w:r>
    </w:p>
    <w:p>
      <w:pPr>
        <w:spacing w:after="120" w:line="276" w:lineRule="auto"/>
      </w:pPr>
      <w:r>
        <w:rPr>
          <w:rFonts w:ascii="Aptos" w:hAnsi="Aptos"/>
          <w:b/>
          <w:i w:val="0"/>
          <w:sz w:val="24"/>
        </w:rPr>
        <w:t>8.1 Vision &amp; Targets</w:t>
      </w:r>
    </w:p>
    <w:p>
      <w:pPr>
        <w:spacing w:after="120" w:line="276" w:lineRule="auto"/>
      </w:pPr>
      <w:r>
        <w:rPr>
          <w:rFonts w:ascii="Aptos" w:hAnsi="Aptos"/>
          <w:b w:val="0"/>
          <w:i w:val="0"/>
          <w:sz w:val="20"/>
        </w:rPr>
        <w:t>Zero harm to people, environment and assets is the foundational HSE commitment of the Group. The HSE Management System is certified to ISO 45001 (Health &amp; Safety) and ISO 14001 (Environment) at all manufacturing, agri, oil &amp; gas, and healthcare sites.</w:t>
      </w:r>
    </w:p>
    <w:p>
      <w:pPr>
        <w:spacing w:after="120" w:line="276" w:lineRule="auto"/>
      </w:pPr>
      <w:r>
        <w:rPr>
          <w:rFonts w:ascii="Aptos" w:hAnsi="Aptos"/>
          <w:b/>
          <w:i w:val="0"/>
          <w:sz w:val="24"/>
        </w:rPr>
        <w:t>8.2 Key HSE Performance Indicators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3118"/>
            <w:shd w:val="clear" w:color="auto" w:fill="1F4E79"/>
          </w:tcPr>
          <w:p>
            <w:r/>
            <w:r>
              <w:rPr>
                <w:rFonts w:ascii="Aptos" w:hAnsi="Aptos"/>
                <w:b/>
                <w:color w:val="FFFFFF"/>
                <w:sz w:val="20"/>
              </w:rPr>
              <w:t>Indicator</w:t>
            </w:r>
          </w:p>
        </w:tc>
        <w:tc>
          <w:tcPr>
            <w:tcW w:type="dxa" w:w="907"/>
            <w:shd w:val="clear" w:color="auto" w:fill="1F4E79"/>
          </w:tcPr>
          <w:p>
            <w:r/>
            <w:r>
              <w:rPr>
                <w:rFonts w:ascii="Aptos" w:hAnsi="Aptos"/>
                <w:b/>
                <w:color w:val="FFFFFF"/>
                <w:sz w:val="20"/>
              </w:rPr>
              <w:t>FY2022</w:t>
            </w:r>
          </w:p>
        </w:tc>
        <w:tc>
          <w:tcPr>
            <w:tcW w:type="dxa" w:w="907"/>
            <w:shd w:val="clear" w:color="auto" w:fill="1F4E79"/>
          </w:tcPr>
          <w:p>
            <w:r/>
            <w:r>
              <w:rPr>
                <w:rFonts w:ascii="Aptos" w:hAnsi="Aptos"/>
                <w:b/>
                <w:color w:val="FFFFFF"/>
                <w:sz w:val="20"/>
              </w:rPr>
              <w:t>FY2023</w:t>
            </w:r>
          </w:p>
        </w:tc>
        <w:tc>
          <w:tcPr>
            <w:tcW w:type="dxa" w:w="907"/>
            <w:shd w:val="clear" w:color="auto" w:fill="1F4E79"/>
          </w:tcPr>
          <w:p>
            <w:r/>
            <w:r>
              <w:rPr>
                <w:rFonts w:ascii="Aptos" w:hAnsi="Aptos"/>
                <w:b/>
                <w:color w:val="FFFFFF"/>
                <w:sz w:val="20"/>
              </w:rPr>
              <w:t>FY2024</w:t>
            </w:r>
          </w:p>
        </w:tc>
        <w:tc>
          <w:tcPr>
            <w:tcW w:type="dxa" w:w="1361"/>
            <w:shd w:val="clear" w:color="auto" w:fill="1F4E79"/>
          </w:tcPr>
          <w:p>
            <w:r/>
            <w:r>
              <w:rPr>
                <w:rFonts w:ascii="Aptos" w:hAnsi="Aptos"/>
                <w:b/>
                <w:color w:val="FFFFFF"/>
                <w:sz w:val="20"/>
              </w:rPr>
              <w:t>FY2025 Target</w:t>
            </w:r>
          </w:p>
        </w:tc>
        <w:tc>
          <w:tcPr>
            <w:tcW w:type="dxa" w:w="1701"/>
            <w:shd w:val="clear" w:color="auto" w:fill="1F4E79"/>
          </w:tcPr>
          <w:p>
            <w:r/>
            <w:r>
              <w:rPr>
                <w:rFonts w:ascii="Aptos" w:hAnsi="Aptos"/>
                <w:b/>
                <w:color w:val="FFFFFF"/>
                <w:sz w:val="20"/>
              </w:rPr>
              <w:t>Long-term Aspiration</w:t>
            </w:r>
          </w:p>
        </w:tc>
      </w:tr>
      <w:tr>
        <w:tc>
          <w:tcPr>
            <w:tcW w:type="dxa" w:w="3118"/>
          </w:tcPr>
          <w:p>
            <w:r/>
            <w:r>
              <w:rPr>
                <w:rFonts w:ascii="Aptos" w:hAnsi="Aptos"/>
                <w:sz w:val="18"/>
              </w:rPr>
              <w:t>Total Recordable Injury Rate (per 200K hrs)</w:t>
            </w:r>
          </w:p>
        </w:tc>
        <w:tc>
          <w:tcPr>
            <w:tcW w:type="dxa" w:w="907"/>
          </w:tcPr>
          <w:p>
            <w:r/>
            <w:r>
              <w:rPr>
                <w:rFonts w:ascii="Aptos" w:hAnsi="Aptos"/>
                <w:sz w:val="18"/>
              </w:rPr>
              <w:t>0.42</w:t>
            </w:r>
          </w:p>
        </w:tc>
        <w:tc>
          <w:tcPr>
            <w:tcW w:type="dxa" w:w="907"/>
          </w:tcPr>
          <w:p>
            <w:r/>
            <w:r>
              <w:rPr>
                <w:rFonts w:ascii="Aptos" w:hAnsi="Aptos"/>
                <w:sz w:val="18"/>
              </w:rPr>
              <w:t>0.36</w:t>
            </w:r>
          </w:p>
        </w:tc>
        <w:tc>
          <w:tcPr>
            <w:tcW w:type="dxa" w:w="907"/>
          </w:tcPr>
          <w:p>
            <w:r/>
            <w:r>
              <w:rPr>
                <w:rFonts w:ascii="Aptos" w:hAnsi="Aptos"/>
                <w:sz w:val="18"/>
              </w:rPr>
              <w:t>0.31</w:t>
            </w:r>
          </w:p>
        </w:tc>
        <w:tc>
          <w:tcPr>
            <w:tcW w:type="dxa" w:w="1361"/>
          </w:tcPr>
          <w:p>
            <w:r/>
            <w:r>
              <w:rPr>
                <w:rFonts w:ascii="Aptos" w:hAnsi="Aptos"/>
                <w:sz w:val="18"/>
              </w:rPr>
              <w:t>&lt; 0.25</w:t>
            </w:r>
          </w:p>
        </w:tc>
        <w:tc>
          <w:tcPr>
            <w:tcW w:type="dxa" w:w="1701"/>
          </w:tcPr>
          <w:p>
            <w:r/>
            <w:r>
              <w:rPr>
                <w:rFonts w:ascii="Aptos" w:hAnsi="Aptos"/>
                <w:sz w:val="18"/>
              </w:rPr>
              <w:t>&lt; 0.10</w:t>
            </w:r>
          </w:p>
        </w:tc>
      </w:tr>
      <w:tr>
        <w:tc>
          <w:tcPr>
            <w:tcW w:type="dxa" w:w="3118"/>
          </w:tcPr>
          <w:p>
            <w:r/>
            <w:r>
              <w:rPr>
                <w:rFonts w:ascii="Aptos" w:hAnsi="Aptos"/>
                <w:sz w:val="18"/>
              </w:rPr>
              <w:t>Lost Time Injury Frequency Rate</w:t>
            </w:r>
          </w:p>
        </w:tc>
        <w:tc>
          <w:tcPr>
            <w:tcW w:type="dxa" w:w="907"/>
          </w:tcPr>
          <w:p>
            <w:r/>
            <w:r>
              <w:rPr>
                <w:rFonts w:ascii="Aptos" w:hAnsi="Aptos"/>
                <w:sz w:val="18"/>
              </w:rPr>
              <w:t>0.18</w:t>
            </w:r>
          </w:p>
        </w:tc>
        <w:tc>
          <w:tcPr>
            <w:tcW w:type="dxa" w:w="907"/>
          </w:tcPr>
          <w:p>
            <w:r/>
            <w:r>
              <w:rPr>
                <w:rFonts w:ascii="Aptos" w:hAnsi="Aptos"/>
                <w:sz w:val="18"/>
              </w:rPr>
              <w:t>0.14</w:t>
            </w:r>
          </w:p>
        </w:tc>
        <w:tc>
          <w:tcPr>
            <w:tcW w:type="dxa" w:w="907"/>
          </w:tcPr>
          <w:p>
            <w:r/>
            <w:r>
              <w:rPr>
                <w:rFonts w:ascii="Aptos" w:hAnsi="Aptos"/>
                <w:sz w:val="18"/>
              </w:rPr>
              <w:t>0.11</w:t>
            </w:r>
          </w:p>
        </w:tc>
        <w:tc>
          <w:tcPr>
            <w:tcW w:type="dxa" w:w="1361"/>
          </w:tcPr>
          <w:p>
            <w:r/>
            <w:r>
              <w:rPr>
                <w:rFonts w:ascii="Aptos" w:hAnsi="Aptos"/>
                <w:sz w:val="18"/>
              </w:rPr>
              <w:t>&lt; 0.08</w:t>
            </w:r>
          </w:p>
        </w:tc>
        <w:tc>
          <w:tcPr>
            <w:tcW w:type="dxa" w:w="1701"/>
          </w:tcPr>
          <w:p>
            <w:r/>
            <w:r>
              <w:rPr>
                <w:rFonts w:ascii="Aptos" w:hAnsi="Aptos"/>
                <w:sz w:val="18"/>
              </w:rPr>
              <w:t>&lt; 0.05</w:t>
            </w:r>
          </w:p>
        </w:tc>
      </w:tr>
      <w:tr>
        <w:tc>
          <w:tcPr>
            <w:tcW w:type="dxa" w:w="3118"/>
          </w:tcPr>
          <w:p>
            <w:r/>
            <w:r>
              <w:rPr>
                <w:rFonts w:ascii="Aptos" w:hAnsi="Aptos"/>
                <w:sz w:val="18"/>
              </w:rPr>
              <w:t>Fatalities (employees + contractors)</w:t>
            </w:r>
          </w:p>
        </w:tc>
        <w:tc>
          <w:tcPr>
            <w:tcW w:type="dxa" w:w="907"/>
          </w:tcPr>
          <w:p>
            <w:r/>
            <w:r>
              <w:rPr>
                <w:rFonts w:ascii="Aptos" w:hAnsi="Aptos"/>
                <w:sz w:val="18"/>
              </w:rPr>
              <w:t>2</w:t>
            </w:r>
          </w:p>
        </w:tc>
        <w:tc>
          <w:tcPr>
            <w:tcW w:type="dxa" w:w="907"/>
          </w:tcPr>
          <w:p>
            <w:r/>
            <w:r>
              <w:rPr>
                <w:rFonts w:ascii="Aptos" w:hAnsi="Aptos"/>
                <w:sz w:val="18"/>
              </w:rPr>
              <w:t>1</w:t>
            </w:r>
          </w:p>
        </w:tc>
        <w:tc>
          <w:tcPr>
            <w:tcW w:type="dxa" w:w="907"/>
          </w:tcPr>
          <w:p>
            <w:r/>
            <w:r>
              <w:rPr>
                <w:rFonts w:ascii="Aptos" w:hAnsi="Aptos"/>
                <w:sz w:val="18"/>
              </w:rPr>
              <w:t>0</w:t>
            </w:r>
          </w:p>
        </w:tc>
        <w:tc>
          <w:tcPr>
            <w:tcW w:type="dxa" w:w="1361"/>
          </w:tcPr>
          <w:p>
            <w:r/>
            <w:r>
              <w:rPr>
                <w:rFonts w:ascii="Aptos" w:hAnsi="Aptos"/>
                <w:sz w:val="18"/>
              </w:rPr>
              <w:t>0</w:t>
            </w:r>
          </w:p>
        </w:tc>
        <w:tc>
          <w:tcPr>
            <w:tcW w:type="dxa" w:w="1701"/>
          </w:tcPr>
          <w:p>
            <w:r/>
            <w:r>
              <w:rPr>
                <w:rFonts w:ascii="Aptos" w:hAnsi="Aptos"/>
                <w:sz w:val="18"/>
              </w:rPr>
              <w:t>0</w:t>
            </w:r>
          </w:p>
        </w:tc>
      </w:tr>
      <w:tr>
        <w:tc>
          <w:tcPr>
            <w:tcW w:type="dxa" w:w="3118"/>
          </w:tcPr>
          <w:p>
            <w:r/>
            <w:r>
              <w:rPr>
                <w:rFonts w:ascii="Aptos" w:hAnsi="Aptos"/>
                <w:sz w:val="18"/>
              </w:rPr>
              <w:t>High-potential incidents (HiPo)</w:t>
            </w:r>
          </w:p>
        </w:tc>
        <w:tc>
          <w:tcPr>
            <w:tcW w:type="dxa" w:w="907"/>
          </w:tcPr>
          <w:p>
            <w:r/>
            <w:r>
              <w:rPr>
                <w:rFonts w:ascii="Aptos" w:hAnsi="Aptos"/>
                <w:sz w:val="18"/>
              </w:rPr>
              <w:t>47</w:t>
            </w:r>
          </w:p>
        </w:tc>
        <w:tc>
          <w:tcPr>
            <w:tcW w:type="dxa" w:w="907"/>
          </w:tcPr>
          <w:p>
            <w:r/>
            <w:r>
              <w:rPr>
                <w:rFonts w:ascii="Aptos" w:hAnsi="Aptos"/>
                <w:sz w:val="18"/>
              </w:rPr>
              <w:t>39</w:t>
            </w:r>
          </w:p>
        </w:tc>
        <w:tc>
          <w:tcPr>
            <w:tcW w:type="dxa" w:w="907"/>
          </w:tcPr>
          <w:p>
            <w:r/>
            <w:r>
              <w:rPr>
                <w:rFonts w:ascii="Aptos" w:hAnsi="Aptos"/>
                <w:sz w:val="18"/>
              </w:rPr>
              <w:t>32</w:t>
            </w:r>
          </w:p>
        </w:tc>
        <w:tc>
          <w:tcPr>
            <w:tcW w:type="dxa" w:w="1361"/>
          </w:tcPr>
          <w:p>
            <w:r/>
            <w:r>
              <w:rPr>
                <w:rFonts w:ascii="Aptos" w:hAnsi="Aptos"/>
                <w:sz w:val="18"/>
              </w:rPr>
              <w:t>&lt; 25</w:t>
            </w:r>
          </w:p>
        </w:tc>
        <w:tc>
          <w:tcPr>
            <w:tcW w:type="dxa" w:w="1701"/>
          </w:tcPr>
          <w:p>
            <w:r/>
            <w:r>
              <w:rPr>
                <w:rFonts w:ascii="Aptos" w:hAnsi="Aptos"/>
                <w:sz w:val="18"/>
              </w:rPr>
              <w:t>&lt; 10</w:t>
            </w:r>
          </w:p>
        </w:tc>
      </w:tr>
      <w:tr>
        <w:tc>
          <w:tcPr>
            <w:tcW w:type="dxa" w:w="3118"/>
          </w:tcPr>
          <w:p>
            <w:r/>
            <w:r>
              <w:rPr>
                <w:rFonts w:ascii="Aptos" w:hAnsi="Aptos"/>
                <w:sz w:val="18"/>
              </w:rPr>
              <w:t>Process Safety Tier 1</w:t>
            </w:r>
          </w:p>
        </w:tc>
        <w:tc>
          <w:tcPr>
            <w:tcW w:type="dxa" w:w="907"/>
          </w:tcPr>
          <w:p>
            <w:r/>
            <w:r>
              <w:rPr>
                <w:rFonts w:ascii="Aptos" w:hAnsi="Aptos"/>
                <w:sz w:val="18"/>
              </w:rPr>
              <w:t>4</w:t>
            </w:r>
          </w:p>
        </w:tc>
        <w:tc>
          <w:tcPr>
            <w:tcW w:type="dxa" w:w="907"/>
          </w:tcPr>
          <w:p>
            <w:r/>
            <w:r>
              <w:rPr>
                <w:rFonts w:ascii="Aptos" w:hAnsi="Aptos"/>
                <w:sz w:val="18"/>
              </w:rPr>
              <w:t>3</w:t>
            </w:r>
          </w:p>
        </w:tc>
        <w:tc>
          <w:tcPr>
            <w:tcW w:type="dxa" w:w="907"/>
          </w:tcPr>
          <w:p>
            <w:r/>
            <w:r>
              <w:rPr>
                <w:rFonts w:ascii="Aptos" w:hAnsi="Aptos"/>
                <w:sz w:val="18"/>
              </w:rPr>
              <w:t>2</w:t>
            </w:r>
          </w:p>
        </w:tc>
        <w:tc>
          <w:tcPr>
            <w:tcW w:type="dxa" w:w="1361"/>
          </w:tcPr>
          <w:p>
            <w:r/>
            <w:r>
              <w:rPr>
                <w:rFonts w:ascii="Aptos" w:hAnsi="Aptos"/>
                <w:sz w:val="18"/>
              </w:rPr>
              <w:t>&lt; 2</w:t>
            </w:r>
          </w:p>
        </w:tc>
        <w:tc>
          <w:tcPr>
            <w:tcW w:type="dxa" w:w="1701"/>
          </w:tcPr>
          <w:p>
            <w:r/>
            <w:r>
              <w:rPr>
                <w:rFonts w:ascii="Aptos" w:hAnsi="Aptos"/>
                <w:sz w:val="18"/>
              </w:rPr>
              <w:t>0</w:t>
            </w:r>
          </w:p>
        </w:tc>
      </w:tr>
      <w:tr>
        <w:tc>
          <w:tcPr>
            <w:tcW w:type="dxa" w:w="3118"/>
          </w:tcPr>
          <w:p>
            <w:r/>
            <w:r>
              <w:rPr>
                <w:rFonts w:ascii="Aptos" w:hAnsi="Aptos"/>
                <w:sz w:val="18"/>
              </w:rPr>
              <w:t>Process Safety Tier 2</w:t>
            </w:r>
          </w:p>
        </w:tc>
        <w:tc>
          <w:tcPr>
            <w:tcW w:type="dxa" w:w="907"/>
          </w:tcPr>
          <w:p>
            <w:r/>
            <w:r>
              <w:rPr>
                <w:rFonts w:ascii="Aptos" w:hAnsi="Aptos"/>
                <w:sz w:val="18"/>
              </w:rPr>
              <w:t>14</w:t>
            </w:r>
          </w:p>
        </w:tc>
        <w:tc>
          <w:tcPr>
            <w:tcW w:type="dxa" w:w="907"/>
          </w:tcPr>
          <w:p>
            <w:r/>
            <w:r>
              <w:rPr>
                <w:rFonts w:ascii="Aptos" w:hAnsi="Aptos"/>
                <w:sz w:val="18"/>
              </w:rPr>
              <w:t>11</w:t>
            </w:r>
          </w:p>
        </w:tc>
        <w:tc>
          <w:tcPr>
            <w:tcW w:type="dxa" w:w="907"/>
          </w:tcPr>
          <w:p>
            <w:r/>
            <w:r>
              <w:rPr>
                <w:rFonts w:ascii="Aptos" w:hAnsi="Aptos"/>
                <w:sz w:val="18"/>
              </w:rPr>
              <w:t>8</w:t>
            </w:r>
          </w:p>
        </w:tc>
        <w:tc>
          <w:tcPr>
            <w:tcW w:type="dxa" w:w="1361"/>
          </w:tcPr>
          <w:p>
            <w:r/>
            <w:r>
              <w:rPr>
                <w:rFonts w:ascii="Aptos" w:hAnsi="Aptos"/>
                <w:sz w:val="18"/>
              </w:rPr>
              <w:t>&lt; 6</w:t>
            </w:r>
          </w:p>
        </w:tc>
        <w:tc>
          <w:tcPr>
            <w:tcW w:type="dxa" w:w="1701"/>
          </w:tcPr>
          <w:p>
            <w:r/>
            <w:r>
              <w:rPr>
                <w:rFonts w:ascii="Aptos" w:hAnsi="Aptos"/>
                <w:sz w:val="18"/>
              </w:rPr>
              <w:t>&lt; 3</w:t>
            </w:r>
          </w:p>
        </w:tc>
      </w:tr>
      <w:tr>
        <w:tc>
          <w:tcPr>
            <w:tcW w:type="dxa" w:w="3118"/>
          </w:tcPr>
          <w:p>
            <w:r/>
            <w:r>
              <w:rPr>
                <w:rFonts w:ascii="Aptos" w:hAnsi="Aptos"/>
                <w:sz w:val="18"/>
              </w:rPr>
              <w:t>Environmental incidents (reportable)</w:t>
            </w:r>
          </w:p>
        </w:tc>
        <w:tc>
          <w:tcPr>
            <w:tcW w:type="dxa" w:w="907"/>
          </w:tcPr>
          <w:p>
            <w:r/>
            <w:r>
              <w:rPr>
                <w:rFonts w:ascii="Aptos" w:hAnsi="Aptos"/>
                <w:sz w:val="18"/>
              </w:rPr>
              <w:t>6</w:t>
            </w:r>
          </w:p>
        </w:tc>
        <w:tc>
          <w:tcPr>
            <w:tcW w:type="dxa" w:w="907"/>
          </w:tcPr>
          <w:p>
            <w:r/>
            <w:r>
              <w:rPr>
                <w:rFonts w:ascii="Aptos" w:hAnsi="Aptos"/>
                <w:sz w:val="18"/>
              </w:rPr>
              <w:t>4</w:t>
            </w:r>
          </w:p>
        </w:tc>
        <w:tc>
          <w:tcPr>
            <w:tcW w:type="dxa" w:w="907"/>
          </w:tcPr>
          <w:p>
            <w:r/>
            <w:r>
              <w:rPr>
                <w:rFonts w:ascii="Aptos" w:hAnsi="Aptos"/>
                <w:sz w:val="18"/>
              </w:rPr>
              <w:t>3</w:t>
            </w:r>
          </w:p>
        </w:tc>
        <w:tc>
          <w:tcPr>
            <w:tcW w:type="dxa" w:w="1361"/>
          </w:tcPr>
          <w:p>
            <w:r/>
            <w:r>
              <w:rPr>
                <w:rFonts w:ascii="Aptos" w:hAnsi="Aptos"/>
                <w:sz w:val="18"/>
              </w:rPr>
              <w:t>&lt; 2</w:t>
            </w:r>
          </w:p>
        </w:tc>
        <w:tc>
          <w:tcPr>
            <w:tcW w:type="dxa" w:w="1701"/>
          </w:tcPr>
          <w:p>
            <w:r/>
            <w:r>
              <w:rPr>
                <w:rFonts w:ascii="Aptos" w:hAnsi="Aptos"/>
                <w:sz w:val="18"/>
              </w:rPr>
              <w:t>0</w:t>
            </w:r>
          </w:p>
        </w:tc>
      </w:tr>
      <w:tr>
        <w:tc>
          <w:tcPr>
            <w:tcW w:type="dxa" w:w="3118"/>
          </w:tcPr>
          <w:p>
            <w:r/>
            <w:r>
              <w:rPr>
                <w:rFonts w:ascii="Aptos" w:hAnsi="Aptos"/>
                <w:sz w:val="18"/>
              </w:rPr>
              <w:t>HSE training completion (%)</w:t>
            </w:r>
          </w:p>
        </w:tc>
        <w:tc>
          <w:tcPr>
            <w:tcW w:type="dxa" w:w="907"/>
          </w:tcPr>
          <w:p>
            <w:r/>
            <w:r>
              <w:rPr>
                <w:rFonts w:ascii="Aptos" w:hAnsi="Aptos"/>
                <w:sz w:val="18"/>
              </w:rPr>
              <w:t>93.4%</w:t>
            </w:r>
          </w:p>
        </w:tc>
        <w:tc>
          <w:tcPr>
            <w:tcW w:type="dxa" w:w="907"/>
          </w:tcPr>
          <w:p>
            <w:r/>
            <w:r>
              <w:rPr>
                <w:rFonts w:ascii="Aptos" w:hAnsi="Aptos"/>
                <w:sz w:val="18"/>
              </w:rPr>
              <w:t>95.6%</w:t>
            </w:r>
          </w:p>
        </w:tc>
        <w:tc>
          <w:tcPr>
            <w:tcW w:type="dxa" w:w="907"/>
          </w:tcPr>
          <w:p>
            <w:r/>
            <w:r>
              <w:rPr>
                <w:rFonts w:ascii="Aptos" w:hAnsi="Aptos"/>
                <w:sz w:val="18"/>
              </w:rPr>
              <w:t>97.2%</w:t>
            </w:r>
          </w:p>
        </w:tc>
        <w:tc>
          <w:tcPr>
            <w:tcW w:type="dxa" w:w="1361"/>
          </w:tcPr>
          <w:p>
            <w:r/>
            <w:r>
              <w:rPr>
                <w:rFonts w:ascii="Aptos" w:hAnsi="Aptos"/>
                <w:sz w:val="18"/>
              </w:rPr>
              <w:t>&gt; 98%</w:t>
            </w:r>
          </w:p>
        </w:tc>
        <w:tc>
          <w:tcPr>
            <w:tcW w:type="dxa" w:w="1701"/>
          </w:tcPr>
          <w:p>
            <w:r/>
            <w:r>
              <w:rPr>
                <w:rFonts w:ascii="Aptos" w:hAnsi="Aptos"/>
                <w:sz w:val="18"/>
              </w:rPr>
              <w:t>100%</w:t>
            </w:r>
          </w:p>
        </w:tc>
      </w:tr>
    </w:tbl>
    <w:p>
      <w:pPr>
        <w:spacing w:after="120" w:line="276" w:lineRule="auto"/>
      </w:pPr>
      <w:r>
        <w:rPr>
          <w:rFonts w:ascii="Aptos" w:hAnsi="Aptos"/>
          <w:b/>
          <w:i w:val="0"/>
          <w:sz w:val="24"/>
        </w:rPr>
        <w:t>8.3 Permit-to-Work &amp; Lifesaving Rules</w:t>
      </w:r>
    </w:p>
    <w:p>
      <w:pPr>
        <w:spacing w:after="120" w:line="276" w:lineRule="auto"/>
      </w:pPr>
      <w:r>
        <w:rPr>
          <w:rFonts w:ascii="Aptos" w:hAnsi="Aptos"/>
          <w:b w:val="0"/>
          <w:i w:val="0"/>
          <w:sz w:val="20"/>
        </w:rPr>
        <w:t>The Group operates a tiered permit-to-work system covering hot work, confined space, work-at-height, energy isolation, hot oil / hot gas, ground breaking, and lifting operations. Eight (8) Lifesaving Rules apply across the Group; breach is a summary disciplinary offence and may result in immediate termination.</w:t>
      </w:r>
    </w:p>
    <w:p>
      <w:pPr>
        <w:pStyle w:val="ListBullet"/>
        <w:spacing w:after="60"/>
      </w:pPr>
      <w:r>
        <w:rPr>
          <w:rFonts w:ascii="Aptos" w:hAnsi="Aptos"/>
          <w:sz w:val="20"/>
        </w:rPr>
        <w:t>Always work with a valid Permit-to-Work where required</w:t>
      </w:r>
    </w:p>
    <w:p>
      <w:pPr>
        <w:pStyle w:val="ListBullet"/>
        <w:spacing w:after="60"/>
      </w:pPr>
      <w:r>
        <w:rPr>
          <w:rFonts w:ascii="Aptos" w:hAnsi="Aptos"/>
          <w:sz w:val="20"/>
        </w:rPr>
        <w:t>Always follow Energy Isolation procedures</w:t>
      </w:r>
    </w:p>
    <w:p>
      <w:pPr>
        <w:pStyle w:val="ListBullet"/>
        <w:spacing w:after="60"/>
      </w:pPr>
      <w:r>
        <w:rPr>
          <w:rFonts w:ascii="Aptos" w:hAnsi="Aptos"/>
          <w:sz w:val="20"/>
        </w:rPr>
        <w:t>Always wear the prescribed Personal Protective Equipment</w:t>
      </w:r>
    </w:p>
    <w:p>
      <w:pPr>
        <w:pStyle w:val="ListBullet"/>
        <w:spacing w:after="60"/>
      </w:pPr>
      <w:r>
        <w:rPr>
          <w:rFonts w:ascii="Aptos" w:hAnsi="Aptos"/>
          <w:sz w:val="20"/>
        </w:rPr>
        <w:t>Never enter a Confined Space without a valid permit and a Standby Person</w:t>
      </w:r>
    </w:p>
    <w:p>
      <w:pPr>
        <w:pStyle w:val="ListBullet"/>
        <w:spacing w:after="60"/>
      </w:pPr>
      <w:r>
        <w:rPr>
          <w:rFonts w:ascii="Aptos" w:hAnsi="Aptos"/>
          <w:sz w:val="20"/>
        </w:rPr>
        <w:t>Never work under a suspended load</w:t>
      </w:r>
    </w:p>
    <w:p>
      <w:pPr>
        <w:pStyle w:val="ListBullet"/>
        <w:spacing w:after="60"/>
      </w:pPr>
      <w:r>
        <w:rPr>
          <w:rFonts w:ascii="Aptos" w:hAnsi="Aptos"/>
          <w:sz w:val="20"/>
        </w:rPr>
        <w:t>Never bypass critical safety devices or interlocks</w:t>
      </w:r>
    </w:p>
    <w:p>
      <w:pPr>
        <w:pStyle w:val="ListBullet"/>
        <w:spacing w:after="60"/>
      </w:pPr>
      <w:r>
        <w:rPr>
          <w:rFonts w:ascii="Aptos" w:hAnsi="Aptos"/>
          <w:sz w:val="20"/>
        </w:rPr>
        <w:t>Always test for atmosphere before entering any potentially hazardous space</w:t>
      </w:r>
    </w:p>
    <w:p>
      <w:pPr>
        <w:pStyle w:val="ListBullet"/>
        <w:spacing w:after="60"/>
      </w:pPr>
      <w:r>
        <w:rPr>
          <w:rFonts w:ascii="Aptos" w:hAnsi="Aptos"/>
          <w:sz w:val="20"/>
        </w:rPr>
        <w:t>Always travel safely — seatbelts, no-mobile, defensive driving, work-rest cycles</w:t>
      </w:r>
    </w:p>
    <w:p>
      <w:pPr>
        <w:spacing w:after="120" w:line="276" w:lineRule="auto"/>
      </w:pPr>
      <w:r>
        <w:rPr>
          <w:rFonts w:ascii="Aptos" w:hAnsi="Aptos"/>
          <w:b/>
          <w:i w:val="0"/>
          <w:sz w:val="24"/>
        </w:rPr>
        <w:t>8.4 Process Safety Management</w:t>
      </w:r>
    </w:p>
    <w:p>
      <w:pPr>
        <w:spacing w:after="120" w:line="276" w:lineRule="auto"/>
      </w:pPr>
      <w:r>
        <w:rPr>
          <w:rFonts w:ascii="Aptos" w:hAnsi="Aptos"/>
          <w:b w:val="0"/>
          <w:i w:val="0"/>
          <w:sz w:val="20"/>
        </w:rPr>
        <w:t>For high-hazard installations (refineries, petrochemical plants, fertiliser plants, gas-processing plants), the Group applies a 14-element Process Safety Management framework based on CCPS Risk-Based Process Safety, including: PHA/HAZOP review every 5 years; Mechanical Integrity programme with risk-based inspection; Management of Change with multi-disciplinary review; Operating Procedures with annual recertification; Pre-Start-up Safety Review for all new and modified installations; Emergency Preparedness with annual full-scale drills.</w:t>
      </w:r>
    </w:p>
    <w:p>
      <w:pPr>
        <w:spacing w:after="120" w:line="276" w:lineRule="auto"/>
      </w:pPr>
      <w:r>
        <w:rPr>
          <w:rFonts w:ascii="Aptos" w:hAnsi="Aptos"/>
          <w:b/>
          <w:i w:val="0"/>
          <w:sz w:val="24"/>
        </w:rPr>
        <w:t>8.5 Contractor Safety</w:t>
      </w:r>
    </w:p>
    <w:p>
      <w:pPr>
        <w:spacing w:after="120" w:line="276" w:lineRule="auto"/>
      </w:pPr>
      <w:r>
        <w:rPr>
          <w:rFonts w:ascii="Aptos" w:hAnsi="Aptos"/>
          <w:b w:val="0"/>
          <w:i w:val="0"/>
          <w:sz w:val="20"/>
        </w:rPr>
        <w:t>Contractor safety performance is integrated into the Group HSE scorecard. Contractor incidents are weighted equivalent to employee incidents in monthly reporting. Contractors must achieve EcoVadis Silver or equivalent for HSE-critical work; pre-qualification includes Avetta or ISNetworld registration.</w:t>
      </w:r>
    </w:p>
    <w:p>
      <w:r>
        <w:br w:type="page"/>
      </w:r>
    </w:p>
    <w:p>
      <w:pPr>
        <w:keepNext/>
        <w:spacing w:before="360" w:after="120"/>
      </w:pPr>
      <w:r>
        <w:rPr>
          <w:rFonts w:ascii="Aptos" w:hAnsi="Aptos"/>
          <w:b/>
          <w:color w:val="1F4E79"/>
          <w:sz w:val="40"/>
        </w:rPr>
        <w:t>9. Legal &amp; Compliance</w:t>
      </w:r>
    </w:p>
    <w:p>
      <w:pPr>
        <w:spacing w:after="120" w:line="276" w:lineRule="auto"/>
      </w:pPr>
      <w:r>
        <w:rPr>
          <w:rFonts w:ascii="Aptos" w:hAnsi="Aptos"/>
          <w:b/>
          <w:i w:val="0"/>
          <w:sz w:val="24"/>
        </w:rPr>
        <w:t>9.1 Group Compliance Framework</w:t>
      </w:r>
    </w:p>
    <w:p>
      <w:pPr>
        <w:spacing w:after="120" w:line="276" w:lineRule="auto"/>
      </w:pPr>
      <w:r>
        <w:rPr>
          <w:rFonts w:ascii="Aptos" w:hAnsi="Aptos"/>
          <w:b w:val="0"/>
          <w:i w:val="0"/>
          <w:sz w:val="20"/>
        </w:rPr>
        <w:t>The Group operates a three-lines-of-defence model:</w:t>
      </w:r>
    </w:p>
    <w:p>
      <w:pPr>
        <w:pStyle w:val="ListNumber"/>
        <w:spacing w:after="60"/>
      </w:pPr>
      <w:r>
        <w:rPr>
          <w:rFonts w:ascii="Aptos" w:hAnsi="Aptos"/>
          <w:sz w:val="20"/>
        </w:rPr>
        <w:t>First Line: Operations &amp; Business — primary responsibility for risk and compliance ownership in day-to-day activities</w:t>
      </w:r>
    </w:p>
    <w:p>
      <w:pPr>
        <w:pStyle w:val="ListNumber"/>
        <w:spacing w:after="60"/>
      </w:pPr>
      <w:r>
        <w:rPr>
          <w:rFonts w:ascii="Aptos" w:hAnsi="Aptos"/>
          <w:sz w:val="20"/>
        </w:rPr>
        <w:t>Second Line: Group Compliance, Risk, Legal, Data Privacy, HSE — provides framework, training, monitoring and challenge</w:t>
      </w:r>
    </w:p>
    <w:p>
      <w:pPr>
        <w:pStyle w:val="ListNumber"/>
        <w:spacing w:after="60"/>
      </w:pPr>
      <w:r>
        <w:rPr>
          <w:rFonts w:ascii="Aptos" w:hAnsi="Aptos"/>
          <w:sz w:val="20"/>
        </w:rPr>
        <w:t>Third Line: Group Internal Audit — provides independent assurance to the Board via the Audit &amp; Risk Committee</w:t>
      </w:r>
    </w:p>
    <w:p>
      <w:pPr>
        <w:spacing w:after="120" w:line="276" w:lineRule="auto"/>
      </w:pPr>
      <w:r>
        <w:rPr>
          <w:rFonts w:ascii="Aptos" w:hAnsi="Aptos"/>
          <w:b/>
          <w:i w:val="0"/>
          <w:sz w:val="24"/>
        </w:rPr>
        <w:t>9.2 Compliance Risk Universe</w:t>
      </w:r>
    </w:p>
    <w:tbl>
      <w:tblPr>
        <w:tblStyle w:val="LightGrid-Accent1"/>
        <w:tblW w:type="auto" w:w="0"/>
        <w:tblLook w:firstColumn="1" w:firstRow="1" w:lastColumn="0" w:lastRow="0" w:noHBand="0" w:noVBand="1" w:val="04A0"/>
      </w:tblPr>
      <w:tblGrid>
        <w:gridCol w:w="3249"/>
        <w:gridCol w:w="3249"/>
        <w:gridCol w:w="3249"/>
      </w:tblGrid>
      <w:tr>
        <w:tc>
          <w:tcPr>
            <w:tcW w:type="dxa" w:w="2835"/>
            <w:shd w:val="clear" w:color="auto" w:fill="1F4E79"/>
          </w:tcPr>
          <w:p>
            <w:r/>
            <w:r>
              <w:rPr>
                <w:rFonts w:ascii="Aptos" w:hAnsi="Aptos"/>
                <w:b/>
                <w:color w:val="FFFFFF"/>
                <w:sz w:val="20"/>
              </w:rPr>
              <w:t>Compliance Risk Domain</w:t>
            </w:r>
          </w:p>
        </w:tc>
        <w:tc>
          <w:tcPr>
            <w:tcW w:type="dxa" w:w="2551"/>
            <w:shd w:val="clear" w:color="auto" w:fill="1F4E79"/>
          </w:tcPr>
          <w:p>
            <w:r/>
            <w:r>
              <w:rPr>
                <w:rFonts w:ascii="Aptos" w:hAnsi="Aptos"/>
                <w:b/>
                <w:color w:val="FFFFFF"/>
                <w:sz w:val="20"/>
              </w:rPr>
              <w:t>Lead 2nd-Line Function</w:t>
            </w:r>
          </w:p>
        </w:tc>
        <w:tc>
          <w:tcPr>
            <w:tcW w:type="dxa" w:w="4252"/>
            <w:shd w:val="clear" w:color="auto" w:fill="1F4E79"/>
          </w:tcPr>
          <w:p>
            <w:r/>
            <w:r>
              <w:rPr>
                <w:rFonts w:ascii="Aptos" w:hAnsi="Aptos"/>
                <w:b/>
                <w:color w:val="FFFFFF"/>
                <w:sz w:val="20"/>
              </w:rPr>
              <w:t>Key External Reference</w:t>
            </w:r>
          </w:p>
        </w:tc>
      </w:tr>
      <w:tr>
        <w:tc>
          <w:tcPr>
            <w:tcW w:type="dxa" w:w="2835"/>
          </w:tcPr>
          <w:p>
            <w:r/>
            <w:r>
              <w:rPr>
                <w:rFonts w:ascii="Aptos" w:hAnsi="Aptos"/>
                <w:sz w:val="18"/>
              </w:rPr>
              <w:t>Anti-Bribery &amp; Corruption</w:t>
            </w:r>
          </w:p>
        </w:tc>
        <w:tc>
          <w:tcPr>
            <w:tcW w:type="dxa" w:w="2551"/>
          </w:tcPr>
          <w:p>
            <w:r/>
            <w:r>
              <w:rPr>
                <w:rFonts w:ascii="Aptos" w:hAnsi="Aptos"/>
                <w:sz w:val="18"/>
              </w:rPr>
              <w:t>Group Compliance</w:t>
            </w:r>
          </w:p>
        </w:tc>
        <w:tc>
          <w:tcPr>
            <w:tcW w:type="dxa" w:w="4252"/>
          </w:tcPr>
          <w:p>
            <w:r/>
            <w:r>
              <w:rPr>
                <w:rFonts w:ascii="Aptos" w:hAnsi="Aptos"/>
                <w:sz w:val="18"/>
              </w:rPr>
              <w:t>MACC Act 2009 §17A; FCPA; UK Bribery Act</w:t>
            </w:r>
          </w:p>
        </w:tc>
      </w:tr>
      <w:tr>
        <w:tc>
          <w:tcPr>
            <w:tcW w:type="dxa" w:w="2835"/>
          </w:tcPr>
          <w:p>
            <w:r/>
            <w:r>
              <w:rPr>
                <w:rFonts w:ascii="Aptos" w:hAnsi="Aptos"/>
                <w:sz w:val="18"/>
              </w:rPr>
              <w:t>Sanctions &amp; Trade</w:t>
            </w:r>
          </w:p>
        </w:tc>
        <w:tc>
          <w:tcPr>
            <w:tcW w:type="dxa" w:w="2551"/>
          </w:tcPr>
          <w:p>
            <w:r/>
            <w:r>
              <w:rPr>
                <w:rFonts w:ascii="Aptos" w:hAnsi="Aptos"/>
                <w:sz w:val="18"/>
              </w:rPr>
              <w:t>Group Compliance</w:t>
            </w:r>
          </w:p>
        </w:tc>
        <w:tc>
          <w:tcPr>
            <w:tcW w:type="dxa" w:w="4252"/>
          </w:tcPr>
          <w:p>
            <w:r/>
            <w:r>
              <w:rPr>
                <w:rFonts w:ascii="Aptos" w:hAnsi="Aptos"/>
                <w:sz w:val="18"/>
              </w:rPr>
              <w:t>OFAC, UN, EU, HMT, BNM ECF</w:t>
            </w:r>
          </w:p>
        </w:tc>
      </w:tr>
      <w:tr>
        <w:tc>
          <w:tcPr>
            <w:tcW w:type="dxa" w:w="2835"/>
          </w:tcPr>
          <w:p>
            <w:r/>
            <w:r>
              <w:rPr>
                <w:rFonts w:ascii="Aptos" w:hAnsi="Aptos"/>
                <w:sz w:val="18"/>
              </w:rPr>
              <w:t>Anti-Money Laundering / CFT</w:t>
            </w:r>
          </w:p>
        </w:tc>
        <w:tc>
          <w:tcPr>
            <w:tcW w:type="dxa" w:w="2551"/>
          </w:tcPr>
          <w:p>
            <w:r/>
            <w:r>
              <w:rPr>
                <w:rFonts w:ascii="Aptos" w:hAnsi="Aptos"/>
                <w:sz w:val="18"/>
              </w:rPr>
              <w:t>Group Compliance + FS Compliance</w:t>
            </w:r>
          </w:p>
        </w:tc>
        <w:tc>
          <w:tcPr>
            <w:tcW w:type="dxa" w:w="4252"/>
          </w:tcPr>
          <w:p>
            <w:r/>
            <w:r>
              <w:rPr>
                <w:rFonts w:ascii="Aptos" w:hAnsi="Aptos"/>
                <w:sz w:val="18"/>
              </w:rPr>
              <w:t>AMLA 2001 (MY); UU TPPU (ID); FATF 40 Recs</w:t>
            </w:r>
          </w:p>
        </w:tc>
      </w:tr>
      <w:tr>
        <w:tc>
          <w:tcPr>
            <w:tcW w:type="dxa" w:w="2835"/>
          </w:tcPr>
          <w:p>
            <w:r/>
            <w:r>
              <w:rPr>
                <w:rFonts w:ascii="Aptos" w:hAnsi="Aptos"/>
                <w:sz w:val="18"/>
              </w:rPr>
              <w:t>Competition / Antitrust</w:t>
            </w:r>
          </w:p>
        </w:tc>
        <w:tc>
          <w:tcPr>
            <w:tcW w:type="dxa" w:w="2551"/>
          </w:tcPr>
          <w:p>
            <w:r/>
            <w:r>
              <w:rPr>
                <w:rFonts w:ascii="Aptos" w:hAnsi="Aptos"/>
                <w:sz w:val="18"/>
              </w:rPr>
              <w:t>Group Legal</w:t>
            </w:r>
          </w:p>
        </w:tc>
        <w:tc>
          <w:tcPr>
            <w:tcW w:type="dxa" w:w="4252"/>
          </w:tcPr>
          <w:p>
            <w:r/>
            <w:r>
              <w:rPr>
                <w:rFonts w:ascii="Aptos" w:hAnsi="Aptos"/>
                <w:sz w:val="18"/>
              </w:rPr>
              <w:t>Competition Act 2010 (MY); UU 5/1999 (ID)</w:t>
            </w:r>
          </w:p>
        </w:tc>
      </w:tr>
      <w:tr>
        <w:tc>
          <w:tcPr>
            <w:tcW w:type="dxa" w:w="2835"/>
          </w:tcPr>
          <w:p>
            <w:r/>
            <w:r>
              <w:rPr>
                <w:rFonts w:ascii="Aptos" w:hAnsi="Aptos"/>
                <w:sz w:val="18"/>
              </w:rPr>
              <w:t>Tax</w:t>
            </w:r>
          </w:p>
        </w:tc>
        <w:tc>
          <w:tcPr>
            <w:tcW w:type="dxa" w:w="2551"/>
          </w:tcPr>
          <w:p>
            <w:r/>
            <w:r>
              <w:rPr>
                <w:rFonts w:ascii="Aptos" w:hAnsi="Aptos"/>
                <w:sz w:val="18"/>
              </w:rPr>
              <w:t>Group Tax</w:t>
            </w:r>
          </w:p>
        </w:tc>
        <w:tc>
          <w:tcPr>
            <w:tcW w:type="dxa" w:w="4252"/>
          </w:tcPr>
          <w:p>
            <w:r/>
            <w:r>
              <w:rPr>
                <w:rFonts w:ascii="Aptos" w:hAnsi="Aptos"/>
                <w:sz w:val="18"/>
              </w:rPr>
              <w:t>IRBM rulings; DGT regulations; OECD BEPS 2.0 Pillar 2</w:t>
            </w:r>
          </w:p>
        </w:tc>
      </w:tr>
      <w:tr>
        <w:tc>
          <w:tcPr>
            <w:tcW w:type="dxa" w:w="2835"/>
          </w:tcPr>
          <w:p>
            <w:r/>
            <w:r>
              <w:rPr>
                <w:rFonts w:ascii="Aptos" w:hAnsi="Aptos"/>
                <w:sz w:val="18"/>
              </w:rPr>
              <w:t>Listing &amp; Disclosure</w:t>
            </w:r>
          </w:p>
        </w:tc>
        <w:tc>
          <w:tcPr>
            <w:tcW w:type="dxa" w:w="2551"/>
          </w:tcPr>
          <w:p>
            <w:r/>
            <w:r>
              <w:rPr>
                <w:rFonts w:ascii="Aptos" w:hAnsi="Aptos"/>
                <w:sz w:val="18"/>
              </w:rPr>
              <w:t>Company Secretary</w:t>
            </w:r>
          </w:p>
        </w:tc>
        <w:tc>
          <w:tcPr>
            <w:tcW w:type="dxa" w:w="4252"/>
          </w:tcPr>
          <w:p>
            <w:r/>
            <w:r>
              <w:rPr>
                <w:rFonts w:ascii="Aptos" w:hAnsi="Aptos"/>
                <w:sz w:val="18"/>
              </w:rPr>
              <w:t>Bursa LR; OJK POJK; SGX Listing Manual</w:t>
            </w:r>
          </w:p>
        </w:tc>
      </w:tr>
      <w:tr>
        <w:tc>
          <w:tcPr>
            <w:tcW w:type="dxa" w:w="2835"/>
          </w:tcPr>
          <w:p>
            <w:r/>
            <w:r>
              <w:rPr>
                <w:rFonts w:ascii="Aptos" w:hAnsi="Aptos"/>
                <w:sz w:val="18"/>
              </w:rPr>
              <w:t>Securities &amp; Insider Trading</w:t>
            </w:r>
          </w:p>
        </w:tc>
        <w:tc>
          <w:tcPr>
            <w:tcW w:type="dxa" w:w="2551"/>
          </w:tcPr>
          <w:p>
            <w:r/>
            <w:r>
              <w:rPr>
                <w:rFonts w:ascii="Aptos" w:hAnsi="Aptos"/>
                <w:sz w:val="18"/>
              </w:rPr>
              <w:t>Group Legal + CoSec</w:t>
            </w:r>
          </w:p>
        </w:tc>
        <w:tc>
          <w:tcPr>
            <w:tcW w:type="dxa" w:w="4252"/>
          </w:tcPr>
          <w:p>
            <w:r/>
            <w:r>
              <w:rPr>
                <w:rFonts w:ascii="Aptos" w:hAnsi="Aptos"/>
                <w:sz w:val="18"/>
              </w:rPr>
              <w:t>CMSA 2007 (MY); UU PM (ID)</w:t>
            </w:r>
          </w:p>
        </w:tc>
      </w:tr>
      <w:tr>
        <w:tc>
          <w:tcPr>
            <w:tcW w:type="dxa" w:w="2835"/>
          </w:tcPr>
          <w:p>
            <w:r/>
            <w:r>
              <w:rPr>
                <w:rFonts w:ascii="Aptos" w:hAnsi="Aptos"/>
                <w:sz w:val="18"/>
              </w:rPr>
              <w:t>Data Privacy</w:t>
            </w:r>
          </w:p>
        </w:tc>
        <w:tc>
          <w:tcPr>
            <w:tcW w:type="dxa" w:w="2551"/>
          </w:tcPr>
          <w:p>
            <w:r/>
            <w:r>
              <w:rPr>
                <w:rFonts w:ascii="Aptos" w:hAnsi="Aptos"/>
                <w:sz w:val="18"/>
              </w:rPr>
              <w:t>Group DPO</w:t>
            </w:r>
          </w:p>
        </w:tc>
        <w:tc>
          <w:tcPr>
            <w:tcW w:type="dxa" w:w="4252"/>
          </w:tcPr>
          <w:p>
            <w:r/>
            <w:r>
              <w:rPr>
                <w:rFonts w:ascii="Aptos" w:hAnsi="Aptos"/>
                <w:sz w:val="18"/>
              </w:rPr>
              <w:t>PDPA MY (2024 amend); UU PDP ID; GDPR</w:t>
            </w:r>
          </w:p>
        </w:tc>
      </w:tr>
      <w:tr>
        <w:tc>
          <w:tcPr>
            <w:tcW w:type="dxa" w:w="2835"/>
          </w:tcPr>
          <w:p>
            <w:r/>
            <w:r>
              <w:rPr>
                <w:rFonts w:ascii="Aptos" w:hAnsi="Aptos"/>
                <w:sz w:val="18"/>
              </w:rPr>
              <w:t>Environmental</w:t>
            </w:r>
          </w:p>
        </w:tc>
        <w:tc>
          <w:tcPr>
            <w:tcW w:type="dxa" w:w="2551"/>
          </w:tcPr>
          <w:p>
            <w:r/>
            <w:r>
              <w:rPr>
                <w:rFonts w:ascii="Aptos" w:hAnsi="Aptos"/>
                <w:sz w:val="18"/>
              </w:rPr>
              <w:t>Group HSE</w:t>
            </w:r>
          </w:p>
        </w:tc>
        <w:tc>
          <w:tcPr>
            <w:tcW w:type="dxa" w:w="4252"/>
          </w:tcPr>
          <w:p>
            <w:r/>
            <w:r>
              <w:rPr>
                <w:rFonts w:ascii="Aptos" w:hAnsi="Aptos"/>
                <w:sz w:val="18"/>
              </w:rPr>
              <w:t>Env Quality Act 1974 (MY); UU 32/2009 (ID)</w:t>
            </w:r>
          </w:p>
        </w:tc>
      </w:tr>
      <w:tr>
        <w:tc>
          <w:tcPr>
            <w:tcW w:type="dxa" w:w="2835"/>
          </w:tcPr>
          <w:p>
            <w:r/>
            <w:r>
              <w:rPr>
                <w:rFonts w:ascii="Aptos" w:hAnsi="Aptos"/>
                <w:sz w:val="18"/>
              </w:rPr>
              <w:t>Sectoral / Licensing</w:t>
            </w:r>
          </w:p>
        </w:tc>
        <w:tc>
          <w:tcPr>
            <w:tcW w:type="dxa" w:w="2551"/>
          </w:tcPr>
          <w:p>
            <w:r/>
            <w:r>
              <w:rPr>
                <w:rFonts w:ascii="Aptos" w:hAnsi="Aptos"/>
                <w:sz w:val="18"/>
              </w:rPr>
              <w:t>Division Legal</w:t>
            </w:r>
          </w:p>
        </w:tc>
        <w:tc>
          <w:tcPr>
            <w:tcW w:type="dxa" w:w="4252"/>
          </w:tcPr>
          <w:p>
            <w:r/>
            <w:r>
              <w:rPr>
                <w:rFonts w:ascii="Aptos" w:hAnsi="Aptos"/>
                <w:sz w:val="18"/>
              </w:rPr>
              <w:t>BNM, OJK, MOH, MITI, MIDA, BPOM, etc.</w:t>
            </w:r>
          </w:p>
        </w:tc>
      </w:tr>
    </w:tbl>
    <w:p>
      <w:pPr>
        <w:spacing w:after="120" w:line="276" w:lineRule="auto"/>
      </w:pPr>
      <w:r>
        <w:rPr>
          <w:rFonts w:ascii="Aptos" w:hAnsi="Aptos"/>
          <w:b/>
          <w:i w:val="0"/>
          <w:sz w:val="24"/>
        </w:rPr>
        <w:t>9.3 Legal &amp; Litigation Management</w:t>
      </w:r>
    </w:p>
    <w:p>
      <w:pPr>
        <w:spacing w:after="120" w:line="276" w:lineRule="auto"/>
      </w:pPr>
      <w:r>
        <w:rPr>
          <w:rFonts w:ascii="Aptos" w:hAnsi="Aptos"/>
          <w:b w:val="0"/>
          <w:i w:val="0"/>
          <w:sz w:val="20"/>
        </w:rPr>
        <w:t>All legal matters with potential exposure greater than MYR 5 million must be reported to the Group General Counsel within five (5) business days of becoming aware. Matters above MYR 50 million are reported to the Audit &amp; Risk Committee. The Group operates an enterprise legal management system (Legalweek Matter Management) which tracks all active matters, panel firm engagement, budget vs actual fees, and key milestones.</w:t>
      </w:r>
    </w:p>
    <w:p>
      <w:pPr>
        <w:spacing w:after="120" w:line="276" w:lineRule="auto"/>
      </w:pPr>
      <w:r>
        <w:rPr>
          <w:rFonts w:ascii="Aptos" w:hAnsi="Aptos"/>
          <w:b/>
          <w:i w:val="0"/>
          <w:sz w:val="24"/>
        </w:rPr>
        <w:t>9.4 Contract Management</w:t>
      </w:r>
    </w:p>
    <w:p>
      <w:pPr>
        <w:spacing w:after="120" w:line="276" w:lineRule="auto"/>
      </w:pPr>
      <w:r>
        <w:rPr>
          <w:rFonts w:ascii="Aptos" w:hAnsi="Aptos"/>
          <w:b w:val="0"/>
          <w:i w:val="0"/>
          <w:sz w:val="20"/>
        </w:rPr>
        <w:t>All contracts are drafted from Group Standard Templates wherever applicable. Material variations require Group Legal review. The contract management system (Icertis) holds the executed copy of every contract above MYR 250K, with auto-extracted obligations, expiry alerts and renewal management.</w:t>
      </w:r>
    </w:p>
    <w:p>
      <w:pPr>
        <w:spacing w:after="120" w:line="276" w:lineRule="auto"/>
      </w:pPr>
      <w:r>
        <w:rPr>
          <w:rFonts w:ascii="Aptos" w:hAnsi="Aptos"/>
          <w:b/>
          <w:i w:val="0"/>
          <w:sz w:val="24"/>
        </w:rPr>
        <w:t>9.5 Regulatory Engagement</w:t>
      </w:r>
    </w:p>
    <w:p>
      <w:pPr>
        <w:spacing w:after="120" w:line="276" w:lineRule="auto"/>
      </w:pPr>
      <w:r>
        <w:rPr>
          <w:rFonts w:ascii="Aptos" w:hAnsi="Aptos"/>
          <w:b w:val="0"/>
          <w:i w:val="0"/>
          <w:sz w:val="20"/>
        </w:rPr>
        <w:t>The Group maintains constructive, transparent relationships with all relevant regulators. Engagement principles: single point of accountability per regulator, proactive disclosure of material matters, prompt response to information requests (within stated deadlines), and consistent senior representation in formal meetings.</w:t>
      </w:r>
    </w:p>
    <w:p>
      <w:r>
        <w:br w:type="page"/>
      </w:r>
    </w:p>
    <w:p>
      <w:pPr>
        <w:keepNext/>
        <w:spacing w:before="360" w:after="120"/>
      </w:pPr>
      <w:r>
        <w:rPr>
          <w:rFonts w:ascii="Aptos" w:hAnsi="Aptos"/>
          <w:b/>
          <w:color w:val="1F4E79"/>
          <w:sz w:val="40"/>
        </w:rPr>
        <w:t>10. Enterprise Risk Management</w:t>
      </w:r>
    </w:p>
    <w:p>
      <w:pPr>
        <w:spacing w:after="120" w:line="276" w:lineRule="auto"/>
      </w:pPr>
      <w:r>
        <w:rPr>
          <w:rFonts w:ascii="Aptos" w:hAnsi="Aptos"/>
          <w:b/>
          <w:i w:val="0"/>
          <w:sz w:val="24"/>
        </w:rPr>
        <w:t>10.1 Risk Appetite Statement</w:t>
      </w:r>
    </w:p>
    <w:p>
      <w:pPr>
        <w:spacing w:after="120" w:line="276" w:lineRule="auto"/>
      </w:pPr>
      <w:r>
        <w:rPr>
          <w:rFonts w:ascii="Aptos" w:hAnsi="Aptos"/>
          <w:b w:val="0"/>
          <w:i w:val="0"/>
          <w:sz w:val="20"/>
        </w:rPr>
        <w:t>The Group accepts measured risks in pursuit of strategic objectives, balanced against capital strength and stakeholder commitments. The Board-approved Risk Appetite Statement (FY2025) sets quantitative tolerances for:</w:t>
      </w:r>
    </w:p>
    <w:p>
      <w:pPr>
        <w:pStyle w:val="ListBullet"/>
        <w:spacing w:after="60"/>
      </w:pPr>
      <w:r>
        <w:rPr>
          <w:rFonts w:ascii="Aptos" w:hAnsi="Aptos"/>
          <w:sz w:val="20"/>
        </w:rPr>
        <w:t>Capital adequacy: Net Debt / EBITDA &lt; 3.0× through-cycle (hard limit 3.5×)</w:t>
      </w:r>
    </w:p>
    <w:p>
      <w:pPr>
        <w:pStyle w:val="ListBullet"/>
        <w:spacing w:after="60"/>
      </w:pPr>
      <w:r>
        <w:rPr>
          <w:rFonts w:ascii="Aptos" w:hAnsi="Aptos"/>
          <w:sz w:val="20"/>
        </w:rPr>
        <w:t>Liquidity: minimum 3 months of operating cash, plus undrawn committed facility ≥ 12 months of debt maturity</w:t>
      </w:r>
    </w:p>
    <w:p>
      <w:pPr>
        <w:pStyle w:val="ListBullet"/>
        <w:spacing w:after="60"/>
      </w:pPr>
      <w:r>
        <w:rPr>
          <w:rFonts w:ascii="Aptos" w:hAnsi="Aptos"/>
          <w:sz w:val="20"/>
        </w:rPr>
        <w:t>Earnings volatility: 1-in-20 year EBITDA shock &lt; 25% of base year EBITDA</w:t>
      </w:r>
    </w:p>
    <w:p>
      <w:pPr>
        <w:pStyle w:val="ListBullet"/>
        <w:spacing w:after="60"/>
      </w:pPr>
      <w:r>
        <w:rPr>
          <w:rFonts w:ascii="Aptos" w:hAnsi="Aptos"/>
          <w:sz w:val="20"/>
        </w:rPr>
        <w:t>Single counterparty exposure: &lt; 15% of group equity to any single non-bank counterparty</w:t>
      </w:r>
    </w:p>
    <w:p>
      <w:pPr>
        <w:pStyle w:val="ListBullet"/>
        <w:spacing w:after="60"/>
      </w:pPr>
      <w:r>
        <w:rPr>
          <w:rFonts w:ascii="Aptos" w:hAnsi="Aptos"/>
          <w:sz w:val="20"/>
        </w:rPr>
        <w:t>Concentration: no single industry &gt; 30% of group EBITDA at SP&amp;L level (3-year average)</w:t>
      </w:r>
    </w:p>
    <w:p>
      <w:pPr>
        <w:pStyle w:val="ListBullet"/>
        <w:spacing w:after="60"/>
      </w:pPr>
      <w:r>
        <w:rPr>
          <w:rFonts w:ascii="Aptos" w:hAnsi="Aptos"/>
          <w:sz w:val="20"/>
        </w:rPr>
        <w:t>Reputation: zero tolerance for financial crime, fatal HSE events, or material data breach</w:t>
      </w:r>
    </w:p>
    <w:p>
      <w:pPr>
        <w:spacing w:after="120" w:line="276" w:lineRule="auto"/>
      </w:pPr>
      <w:r>
        <w:rPr>
          <w:rFonts w:ascii="Aptos" w:hAnsi="Aptos"/>
          <w:b/>
          <w:i w:val="0"/>
          <w:sz w:val="24"/>
        </w:rPr>
        <w:t>10.2 Top Group Risks (FY2025 Risk Register summary)</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2551"/>
            <w:shd w:val="clear" w:color="auto" w:fill="1F4E79"/>
          </w:tcPr>
          <w:p>
            <w:r/>
            <w:r>
              <w:rPr>
                <w:rFonts w:ascii="Aptos" w:hAnsi="Aptos"/>
                <w:b/>
                <w:color w:val="FFFFFF"/>
                <w:sz w:val="20"/>
              </w:rPr>
              <w:t>Risk</w:t>
            </w:r>
          </w:p>
        </w:tc>
        <w:tc>
          <w:tcPr>
            <w:tcW w:type="dxa" w:w="1020"/>
            <w:shd w:val="clear" w:color="auto" w:fill="1F4E79"/>
          </w:tcPr>
          <w:p>
            <w:r/>
            <w:r>
              <w:rPr>
                <w:rFonts w:ascii="Aptos" w:hAnsi="Aptos"/>
                <w:b/>
                <w:color w:val="FFFFFF"/>
                <w:sz w:val="20"/>
              </w:rPr>
              <w:t>Category</w:t>
            </w:r>
          </w:p>
        </w:tc>
        <w:tc>
          <w:tcPr>
            <w:tcW w:type="dxa" w:w="850"/>
            <w:shd w:val="clear" w:color="auto" w:fill="1F4E79"/>
          </w:tcPr>
          <w:p>
            <w:r/>
            <w:r>
              <w:rPr>
                <w:rFonts w:ascii="Aptos" w:hAnsi="Aptos"/>
                <w:b/>
                <w:color w:val="FFFFFF"/>
                <w:sz w:val="20"/>
              </w:rPr>
              <w:t>Impact</w:t>
            </w:r>
          </w:p>
        </w:tc>
        <w:tc>
          <w:tcPr>
            <w:tcW w:type="dxa" w:w="1020"/>
            <w:shd w:val="clear" w:color="auto" w:fill="1F4E79"/>
          </w:tcPr>
          <w:p>
            <w:r/>
            <w:r>
              <w:rPr>
                <w:rFonts w:ascii="Aptos" w:hAnsi="Aptos"/>
                <w:b/>
                <w:color w:val="FFFFFF"/>
                <w:sz w:val="20"/>
              </w:rPr>
              <w:t>Likelihood</w:t>
            </w:r>
          </w:p>
        </w:tc>
        <w:tc>
          <w:tcPr>
            <w:tcW w:type="dxa" w:w="567"/>
            <w:shd w:val="clear" w:color="auto" w:fill="1F4E79"/>
          </w:tcPr>
          <w:p>
            <w:r/>
            <w:r>
              <w:rPr>
                <w:rFonts w:ascii="Aptos" w:hAnsi="Aptos"/>
                <w:b/>
                <w:color w:val="FFFFFF"/>
                <w:sz w:val="20"/>
              </w:rPr>
              <w:t>Trend</w:t>
            </w:r>
          </w:p>
        </w:tc>
        <w:tc>
          <w:tcPr>
            <w:tcW w:type="dxa" w:w="1701"/>
            <w:shd w:val="clear" w:color="auto" w:fill="1F4E79"/>
          </w:tcPr>
          <w:p>
            <w:r/>
            <w:r>
              <w:rPr>
                <w:rFonts w:ascii="Aptos" w:hAnsi="Aptos"/>
                <w:b/>
                <w:color w:val="FFFFFF"/>
                <w:sz w:val="20"/>
              </w:rPr>
              <w:t>Owner</w:t>
            </w:r>
          </w:p>
        </w:tc>
        <w:tc>
          <w:tcPr>
            <w:tcW w:type="dxa" w:w="2835"/>
            <w:shd w:val="clear" w:color="auto" w:fill="1F4E79"/>
          </w:tcPr>
          <w:p>
            <w:r/>
            <w:r>
              <w:rPr>
                <w:rFonts w:ascii="Aptos" w:hAnsi="Aptos"/>
                <w:b/>
                <w:color w:val="FFFFFF"/>
                <w:sz w:val="20"/>
              </w:rPr>
              <w:t>Top Mitigation</w:t>
            </w:r>
          </w:p>
        </w:tc>
      </w:tr>
      <w:tr>
        <w:tc>
          <w:tcPr>
            <w:tcW w:type="dxa" w:w="2551"/>
          </w:tcPr>
          <w:p>
            <w:r/>
            <w:r>
              <w:rPr>
                <w:rFonts w:ascii="Aptos" w:hAnsi="Aptos"/>
                <w:sz w:val="18"/>
              </w:rPr>
              <w:t>Property division margin recovery</w:t>
            </w:r>
          </w:p>
        </w:tc>
        <w:tc>
          <w:tcPr>
            <w:tcW w:type="dxa" w:w="1020"/>
          </w:tcPr>
          <w:p>
            <w:r/>
            <w:r>
              <w:rPr>
                <w:rFonts w:ascii="Aptos" w:hAnsi="Aptos"/>
                <w:sz w:val="18"/>
              </w:rPr>
              <w:t>Strategic</w:t>
            </w:r>
          </w:p>
        </w:tc>
        <w:tc>
          <w:tcPr>
            <w:tcW w:type="dxa" w:w="850"/>
          </w:tcPr>
          <w:p>
            <w:r/>
            <w:r>
              <w:rPr>
                <w:rFonts w:ascii="Aptos" w:hAnsi="Aptos"/>
                <w:sz w:val="18"/>
              </w:rPr>
              <w:t>High</w:t>
            </w:r>
          </w:p>
        </w:tc>
        <w:tc>
          <w:tcPr>
            <w:tcW w:type="dxa" w:w="1020"/>
          </w:tcPr>
          <w:p>
            <w:r/>
            <w:r>
              <w:rPr>
                <w:rFonts w:ascii="Aptos" w:hAnsi="Aptos"/>
                <w:sz w:val="18"/>
              </w:rPr>
              <w:t>High</w:t>
            </w:r>
          </w:p>
        </w:tc>
        <w:tc>
          <w:tcPr>
            <w:tcW w:type="dxa" w:w="567"/>
          </w:tcPr>
          <w:p>
            <w:r/>
            <w:r>
              <w:rPr>
                <w:rFonts w:ascii="Aptos" w:hAnsi="Aptos"/>
                <w:sz w:val="18"/>
              </w:rPr>
              <w:t>↑</w:t>
            </w:r>
          </w:p>
        </w:tc>
        <w:tc>
          <w:tcPr>
            <w:tcW w:type="dxa" w:w="1701"/>
          </w:tcPr>
          <w:p>
            <w:r/>
            <w:r>
              <w:rPr>
                <w:rFonts w:ascii="Aptos" w:hAnsi="Aptos"/>
                <w:sz w:val="18"/>
              </w:rPr>
              <w:t>Div CEO Properties</w:t>
            </w:r>
          </w:p>
        </w:tc>
        <w:tc>
          <w:tcPr>
            <w:tcW w:type="dxa" w:w="2835"/>
          </w:tcPr>
          <w:p>
            <w:r/>
            <w:r>
              <w:rPr>
                <w:rFonts w:ascii="Aptos" w:hAnsi="Aptos"/>
                <w:sz w:val="18"/>
              </w:rPr>
              <w:t>Asset rationalisation programme</w:t>
            </w:r>
          </w:p>
        </w:tc>
      </w:tr>
      <w:tr>
        <w:tc>
          <w:tcPr>
            <w:tcW w:type="dxa" w:w="2551"/>
          </w:tcPr>
          <w:p>
            <w:r/>
            <w:r>
              <w:rPr>
                <w:rFonts w:ascii="Aptos" w:hAnsi="Aptos"/>
                <w:sz w:val="18"/>
              </w:rPr>
              <w:t>Climate transition (carbon pricing)</w:t>
            </w:r>
          </w:p>
        </w:tc>
        <w:tc>
          <w:tcPr>
            <w:tcW w:type="dxa" w:w="1020"/>
          </w:tcPr>
          <w:p>
            <w:r/>
            <w:r>
              <w:rPr>
                <w:rFonts w:ascii="Aptos" w:hAnsi="Aptos"/>
                <w:sz w:val="18"/>
              </w:rPr>
              <w:t>ESG</w:t>
            </w:r>
          </w:p>
        </w:tc>
        <w:tc>
          <w:tcPr>
            <w:tcW w:type="dxa" w:w="850"/>
          </w:tcPr>
          <w:p>
            <w:r/>
            <w:r>
              <w:rPr>
                <w:rFonts w:ascii="Aptos" w:hAnsi="Aptos"/>
                <w:sz w:val="18"/>
              </w:rPr>
              <w:t>High</w:t>
            </w:r>
          </w:p>
        </w:tc>
        <w:tc>
          <w:tcPr>
            <w:tcW w:type="dxa" w:w="1020"/>
          </w:tcPr>
          <w:p>
            <w:r/>
            <w:r>
              <w:rPr>
                <w:rFonts w:ascii="Aptos" w:hAnsi="Aptos"/>
                <w:sz w:val="18"/>
              </w:rPr>
              <w:t>Medium</w:t>
            </w:r>
          </w:p>
        </w:tc>
        <w:tc>
          <w:tcPr>
            <w:tcW w:type="dxa" w:w="567"/>
          </w:tcPr>
          <w:p>
            <w:r/>
            <w:r>
              <w:rPr>
                <w:rFonts w:ascii="Aptos" w:hAnsi="Aptos"/>
                <w:sz w:val="18"/>
              </w:rPr>
              <w:t>↑</w:t>
            </w:r>
          </w:p>
        </w:tc>
        <w:tc>
          <w:tcPr>
            <w:tcW w:type="dxa" w:w="1701"/>
          </w:tcPr>
          <w:p>
            <w:r/>
            <w:r>
              <w:rPr>
                <w:rFonts w:ascii="Aptos" w:hAnsi="Aptos"/>
                <w:sz w:val="18"/>
              </w:rPr>
              <w:t>Group CSO</w:t>
            </w:r>
          </w:p>
        </w:tc>
        <w:tc>
          <w:tcPr>
            <w:tcW w:type="dxa" w:w="2835"/>
          </w:tcPr>
          <w:p>
            <w:r/>
            <w:r>
              <w:rPr>
                <w:rFonts w:ascii="Aptos" w:hAnsi="Aptos"/>
                <w:sz w:val="18"/>
              </w:rPr>
              <w:t>Scope 1+2 −45% by 2030</w:t>
            </w:r>
          </w:p>
        </w:tc>
      </w:tr>
      <w:tr>
        <w:tc>
          <w:tcPr>
            <w:tcW w:type="dxa" w:w="2551"/>
          </w:tcPr>
          <w:p>
            <w:r/>
            <w:r>
              <w:rPr>
                <w:rFonts w:ascii="Aptos" w:hAnsi="Aptos"/>
                <w:sz w:val="18"/>
              </w:rPr>
              <w:t>Cybersecurity incident</w:t>
            </w:r>
          </w:p>
        </w:tc>
        <w:tc>
          <w:tcPr>
            <w:tcW w:type="dxa" w:w="1020"/>
          </w:tcPr>
          <w:p>
            <w:r/>
            <w:r>
              <w:rPr>
                <w:rFonts w:ascii="Aptos" w:hAnsi="Aptos"/>
                <w:sz w:val="18"/>
              </w:rPr>
              <w:t>Operational</w:t>
            </w:r>
          </w:p>
        </w:tc>
        <w:tc>
          <w:tcPr>
            <w:tcW w:type="dxa" w:w="850"/>
          </w:tcPr>
          <w:p>
            <w:r/>
            <w:r>
              <w:rPr>
                <w:rFonts w:ascii="Aptos" w:hAnsi="Aptos"/>
                <w:sz w:val="18"/>
              </w:rPr>
              <w:t>High</w:t>
            </w:r>
          </w:p>
        </w:tc>
        <w:tc>
          <w:tcPr>
            <w:tcW w:type="dxa" w:w="1020"/>
          </w:tcPr>
          <w:p>
            <w:r/>
            <w:r>
              <w:rPr>
                <w:rFonts w:ascii="Aptos" w:hAnsi="Aptos"/>
                <w:sz w:val="18"/>
              </w:rPr>
              <w:t>Medium</w:t>
            </w:r>
          </w:p>
        </w:tc>
        <w:tc>
          <w:tcPr>
            <w:tcW w:type="dxa" w:w="567"/>
          </w:tcPr>
          <w:p>
            <w:r/>
            <w:r>
              <w:rPr>
                <w:rFonts w:ascii="Aptos" w:hAnsi="Aptos"/>
                <w:sz w:val="18"/>
              </w:rPr>
              <w:t>↑</w:t>
            </w:r>
          </w:p>
        </w:tc>
        <w:tc>
          <w:tcPr>
            <w:tcW w:type="dxa" w:w="1701"/>
          </w:tcPr>
          <w:p>
            <w:r/>
            <w:r>
              <w:rPr>
                <w:rFonts w:ascii="Aptos" w:hAnsi="Aptos"/>
                <w:sz w:val="18"/>
              </w:rPr>
              <w:t>Group CIO</w:t>
            </w:r>
          </w:p>
        </w:tc>
        <w:tc>
          <w:tcPr>
            <w:tcW w:type="dxa" w:w="2835"/>
          </w:tcPr>
          <w:p>
            <w:r/>
            <w:r>
              <w:rPr>
                <w:rFonts w:ascii="Aptos" w:hAnsi="Aptos"/>
                <w:sz w:val="18"/>
              </w:rPr>
              <w:t>Zero-trust roll-out FY25 + IRP</w:t>
            </w:r>
          </w:p>
        </w:tc>
      </w:tr>
      <w:tr>
        <w:tc>
          <w:tcPr>
            <w:tcW w:type="dxa" w:w="2551"/>
          </w:tcPr>
          <w:p>
            <w:r/>
            <w:r>
              <w:rPr>
                <w:rFonts w:ascii="Aptos" w:hAnsi="Aptos"/>
                <w:sz w:val="18"/>
              </w:rPr>
              <w:t>Geopolitical / supply chain</w:t>
            </w:r>
          </w:p>
        </w:tc>
        <w:tc>
          <w:tcPr>
            <w:tcW w:type="dxa" w:w="1020"/>
          </w:tcPr>
          <w:p>
            <w:r/>
            <w:r>
              <w:rPr>
                <w:rFonts w:ascii="Aptos" w:hAnsi="Aptos"/>
                <w:sz w:val="18"/>
              </w:rPr>
              <w:t>Strategic</w:t>
            </w:r>
          </w:p>
        </w:tc>
        <w:tc>
          <w:tcPr>
            <w:tcW w:type="dxa" w:w="850"/>
          </w:tcPr>
          <w:p>
            <w:r/>
            <w:r>
              <w:rPr>
                <w:rFonts w:ascii="Aptos" w:hAnsi="Aptos"/>
                <w:sz w:val="18"/>
              </w:rPr>
              <w:t>High</w:t>
            </w:r>
          </w:p>
        </w:tc>
        <w:tc>
          <w:tcPr>
            <w:tcW w:type="dxa" w:w="1020"/>
          </w:tcPr>
          <w:p>
            <w:r/>
            <w:r>
              <w:rPr>
                <w:rFonts w:ascii="Aptos" w:hAnsi="Aptos"/>
                <w:sz w:val="18"/>
              </w:rPr>
              <w:t>Medium</w:t>
            </w:r>
          </w:p>
        </w:tc>
        <w:tc>
          <w:tcPr>
            <w:tcW w:type="dxa" w:w="567"/>
          </w:tcPr>
          <w:p>
            <w:r/>
            <w:r>
              <w:rPr>
                <w:rFonts w:ascii="Aptos" w:hAnsi="Aptos"/>
                <w:sz w:val="18"/>
              </w:rPr>
              <w:t>↑</w:t>
            </w:r>
          </w:p>
        </w:tc>
        <w:tc>
          <w:tcPr>
            <w:tcW w:type="dxa" w:w="1701"/>
          </w:tcPr>
          <w:p>
            <w:r/>
            <w:r>
              <w:rPr>
                <w:rFonts w:ascii="Aptos" w:hAnsi="Aptos"/>
                <w:sz w:val="18"/>
              </w:rPr>
              <w:t>Group COO</w:t>
            </w:r>
          </w:p>
        </w:tc>
        <w:tc>
          <w:tcPr>
            <w:tcW w:type="dxa" w:w="2835"/>
          </w:tcPr>
          <w:p>
            <w:r/>
            <w:r>
              <w:rPr>
                <w:rFonts w:ascii="Aptos" w:hAnsi="Aptos"/>
                <w:sz w:val="18"/>
              </w:rPr>
              <w:t>Multi-source critical components</w:t>
            </w:r>
          </w:p>
        </w:tc>
      </w:tr>
      <w:tr>
        <w:tc>
          <w:tcPr>
            <w:tcW w:type="dxa" w:w="2551"/>
          </w:tcPr>
          <w:p>
            <w:r/>
            <w:r>
              <w:rPr>
                <w:rFonts w:ascii="Aptos" w:hAnsi="Aptos"/>
                <w:sz w:val="18"/>
              </w:rPr>
              <w:t>FX volatility (IDR, VND, THB)</w:t>
            </w:r>
          </w:p>
        </w:tc>
        <w:tc>
          <w:tcPr>
            <w:tcW w:type="dxa" w:w="1020"/>
          </w:tcPr>
          <w:p>
            <w:r/>
            <w:r>
              <w:rPr>
                <w:rFonts w:ascii="Aptos" w:hAnsi="Aptos"/>
                <w:sz w:val="18"/>
              </w:rPr>
              <w:t>Financial</w:t>
            </w:r>
          </w:p>
        </w:tc>
        <w:tc>
          <w:tcPr>
            <w:tcW w:type="dxa" w:w="850"/>
          </w:tcPr>
          <w:p>
            <w:r/>
            <w:r>
              <w:rPr>
                <w:rFonts w:ascii="Aptos" w:hAnsi="Aptos"/>
                <w:sz w:val="18"/>
              </w:rPr>
              <w:t>Medium</w:t>
            </w:r>
          </w:p>
        </w:tc>
        <w:tc>
          <w:tcPr>
            <w:tcW w:type="dxa" w:w="1020"/>
          </w:tcPr>
          <w:p>
            <w:r/>
            <w:r>
              <w:rPr>
                <w:rFonts w:ascii="Aptos" w:hAnsi="Aptos"/>
                <w:sz w:val="18"/>
              </w:rPr>
              <w:t>High</w:t>
            </w:r>
          </w:p>
        </w:tc>
        <w:tc>
          <w:tcPr>
            <w:tcW w:type="dxa" w:w="567"/>
          </w:tcPr>
          <w:p>
            <w:r/>
            <w:r>
              <w:rPr>
                <w:rFonts w:ascii="Aptos" w:hAnsi="Aptos"/>
                <w:sz w:val="18"/>
              </w:rPr>
              <w:t>→</w:t>
            </w:r>
          </w:p>
        </w:tc>
        <w:tc>
          <w:tcPr>
            <w:tcW w:type="dxa" w:w="1701"/>
          </w:tcPr>
          <w:p>
            <w:r/>
            <w:r>
              <w:rPr>
                <w:rFonts w:ascii="Aptos" w:hAnsi="Aptos"/>
                <w:sz w:val="18"/>
              </w:rPr>
              <w:t>Group Treasurer</w:t>
            </w:r>
          </w:p>
        </w:tc>
        <w:tc>
          <w:tcPr>
            <w:tcW w:type="dxa" w:w="2835"/>
          </w:tcPr>
          <w:p>
            <w:r/>
            <w:r>
              <w:rPr>
                <w:rFonts w:ascii="Aptos" w:hAnsi="Aptos"/>
                <w:sz w:val="18"/>
              </w:rPr>
              <w:t>Layered hedging programme</w:t>
            </w:r>
          </w:p>
        </w:tc>
      </w:tr>
      <w:tr>
        <w:tc>
          <w:tcPr>
            <w:tcW w:type="dxa" w:w="2551"/>
          </w:tcPr>
          <w:p>
            <w:r/>
            <w:r>
              <w:rPr>
                <w:rFonts w:ascii="Aptos" w:hAnsi="Aptos"/>
                <w:sz w:val="18"/>
              </w:rPr>
              <w:t>Interest-rate risk</w:t>
            </w:r>
          </w:p>
        </w:tc>
        <w:tc>
          <w:tcPr>
            <w:tcW w:type="dxa" w:w="1020"/>
          </w:tcPr>
          <w:p>
            <w:r/>
            <w:r>
              <w:rPr>
                <w:rFonts w:ascii="Aptos" w:hAnsi="Aptos"/>
                <w:sz w:val="18"/>
              </w:rPr>
              <w:t>Financial</w:t>
            </w:r>
          </w:p>
        </w:tc>
        <w:tc>
          <w:tcPr>
            <w:tcW w:type="dxa" w:w="850"/>
          </w:tcPr>
          <w:p>
            <w:r/>
            <w:r>
              <w:rPr>
                <w:rFonts w:ascii="Aptos" w:hAnsi="Aptos"/>
                <w:sz w:val="18"/>
              </w:rPr>
              <w:t>Medium</w:t>
            </w:r>
          </w:p>
        </w:tc>
        <w:tc>
          <w:tcPr>
            <w:tcW w:type="dxa" w:w="1020"/>
          </w:tcPr>
          <w:p>
            <w:r/>
            <w:r>
              <w:rPr>
                <w:rFonts w:ascii="Aptos" w:hAnsi="Aptos"/>
                <w:sz w:val="18"/>
              </w:rPr>
              <w:t>High</w:t>
            </w:r>
          </w:p>
        </w:tc>
        <w:tc>
          <w:tcPr>
            <w:tcW w:type="dxa" w:w="567"/>
          </w:tcPr>
          <w:p>
            <w:r/>
            <w:r>
              <w:rPr>
                <w:rFonts w:ascii="Aptos" w:hAnsi="Aptos"/>
                <w:sz w:val="18"/>
              </w:rPr>
              <w:t>↑</w:t>
            </w:r>
          </w:p>
        </w:tc>
        <w:tc>
          <w:tcPr>
            <w:tcW w:type="dxa" w:w="1701"/>
          </w:tcPr>
          <w:p>
            <w:r/>
            <w:r>
              <w:rPr>
                <w:rFonts w:ascii="Aptos" w:hAnsi="Aptos"/>
                <w:sz w:val="18"/>
              </w:rPr>
              <w:t>Group Treasurer</w:t>
            </w:r>
          </w:p>
        </w:tc>
        <w:tc>
          <w:tcPr>
            <w:tcW w:type="dxa" w:w="2835"/>
          </w:tcPr>
          <w:p>
            <w:r/>
            <w:r>
              <w:rPr>
                <w:rFonts w:ascii="Aptos" w:hAnsi="Aptos"/>
                <w:sz w:val="18"/>
              </w:rPr>
              <w:t>Fix:float ratio target 60:40</w:t>
            </w:r>
          </w:p>
        </w:tc>
      </w:tr>
      <w:tr>
        <w:tc>
          <w:tcPr>
            <w:tcW w:type="dxa" w:w="2551"/>
          </w:tcPr>
          <w:p>
            <w:r/>
            <w:r>
              <w:rPr>
                <w:rFonts w:ascii="Aptos" w:hAnsi="Aptos"/>
                <w:sz w:val="18"/>
              </w:rPr>
              <w:t>Talent attrition (digital roles)</w:t>
            </w:r>
          </w:p>
        </w:tc>
        <w:tc>
          <w:tcPr>
            <w:tcW w:type="dxa" w:w="1020"/>
          </w:tcPr>
          <w:p>
            <w:r/>
            <w:r>
              <w:rPr>
                <w:rFonts w:ascii="Aptos" w:hAnsi="Aptos"/>
                <w:sz w:val="18"/>
              </w:rPr>
              <w:t>Operational</w:t>
            </w:r>
          </w:p>
        </w:tc>
        <w:tc>
          <w:tcPr>
            <w:tcW w:type="dxa" w:w="850"/>
          </w:tcPr>
          <w:p>
            <w:r/>
            <w:r>
              <w:rPr>
                <w:rFonts w:ascii="Aptos" w:hAnsi="Aptos"/>
                <w:sz w:val="18"/>
              </w:rPr>
              <w:t>Medium</w:t>
            </w:r>
          </w:p>
        </w:tc>
        <w:tc>
          <w:tcPr>
            <w:tcW w:type="dxa" w:w="1020"/>
          </w:tcPr>
          <w:p>
            <w:r/>
            <w:r>
              <w:rPr>
                <w:rFonts w:ascii="Aptos" w:hAnsi="Aptos"/>
                <w:sz w:val="18"/>
              </w:rPr>
              <w:t>High</w:t>
            </w:r>
          </w:p>
        </w:tc>
        <w:tc>
          <w:tcPr>
            <w:tcW w:type="dxa" w:w="567"/>
          </w:tcPr>
          <w:p>
            <w:r/>
            <w:r>
              <w:rPr>
                <w:rFonts w:ascii="Aptos" w:hAnsi="Aptos"/>
                <w:sz w:val="18"/>
              </w:rPr>
              <w:t>↑</w:t>
            </w:r>
          </w:p>
        </w:tc>
        <w:tc>
          <w:tcPr>
            <w:tcW w:type="dxa" w:w="1701"/>
          </w:tcPr>
          <w:p>
            <w:r/>
            <w:r>
              <w:rPr>
                <w:rFonts w:ascii="Aptos" w:hAnsi="Aptos"/>
                <w:sz w:val="18"/>
              </w:rPr>
              <w:t>Group CHRO</w:t>
            </w:r>
          </w:p>
        </w:tc>
        <w:tc>
          <w:tcPr>
            <w:tcW w:type="dxa" w:w="2835"/>
          </w:tcPr>
          <w:p>
            <w:r/>
            <w:r>
              <w:rPr>
                <w:rFonts w:ascii="Aptos" w:hAnsi="Aptos"/>
                <w:sz w:val="18"/>
              </w:rPr>
              <w:t>Reskilling + retention programme</w:t>
            </w:r>
          </w:p>
        </w:tc>
      </w:tr>
      <w:tr>
        <w:tc>
          <w:tcPr>
            <w:tcW w:type="dxa" w:w="2551"/>
          </w:tcPr>
          <w:p>
            <w:r/>
            <w:r>
              <w:rPr>
                <w:rFonts w:ascii="Aptos" w:hAnsi="Aptos"/>
                <w:sz w:val="18"/>
              </w:rPr>
              <w:t>AI governance &amp; misuse</w:t>
            </w:r>
          </w:p>
        </w:tc>
        <w:tc>
          <w:tcPr>
            <w:tcW w:type="dxa" w:w="1020"/>
          </w:tcPr>
          <w:p>
            <w:r/>
            <w:r>
              <w:rPr>
                <w:rFonts w:ascii="Aptos" w:hAnsi="Aptos"/>
                <w:sz w:val="18"/>
              </w:rPr>
              <w:t>Governance</w:t>
            </w:r>
          </w:p>
        </w:tc>
        <w:tc>
          <w:tcPr>
            <w:tcW w:type="dxa" w:w="850"/>
          </w:tcPr>
          <w:p>
            <w:r/>
            <w:r>
              <w:rPr>
                <w:rFonts w:ascii="Aptos" w:hAnsi="Aptos"/>
                <w:sz w:val="18"/>
              </w:rPr>
              <w:t>Medium</w:t>
            </w:r>
          </w:p>
        </w:tc>
        <w:tc>
          <w:tcPr>
            <w:tcW w:type="dxa" w:w="1020"/>
          </w:tcPr>
          <w:p>
            <w:r/>
            <w:r>
              <w:rPr>
                <w:rFonts w:ascii="Aptos" w:hAnsi="Aptos"/>
                <w:sz w:val="18"/>
              </w:rPr>
              <w:t>Medium</w:t>
            </w:r>
          </w:p>
        </w:tc>
        <w:tc>
          <w:tcPr>
            <w:tcW w:type="dxa" w:w="567"/>
          </w:tcPr>
          <w:p>
            <w:r/>
            <w:r>
              <w:rPr>
                <w:rFonts w:ascii="Aptos" w:hAnsi="Aptos"/>
                <w:sz w:val="18"/>
              </w:rPr>
              <w:t>↑</w:t>
            </w:r>
          </w:p>
        </w:tc>
        <w:tc>
          <w:tcPr>
            <w:tcW w:type="dxa" w:w="1701"/>
          </w:tcPr>
          <w:p>
            <w:r/>
            <w:r>
              <w:rPr>
                <w:rFonts w:ascii="Aptos" w:hAnsi="Aptos"/>
                <w:sz w:val="18"/>
              </w:rPr>
              <w:t>Group CIO + DPO</w:t>
            </w:r>
          </w:p>
        </w:tc>
        <w:tc>
          <w:tcPr>
            <w:tcW w:type="dxa" w:w="2835"/>
          </w:tcPr>
          <w:p>
            <w:r/>
            <w:r>
              <w:rPr>
                <w:rFonts w:ascii="Aptos" w:hAnsi="Aptos"/>
                <w:sz w:val="18"/>
              </w:rPr>
              <w:t>AI Use Policy + Use Case Register</w:t>
            </w:r>
          </w:p>
        </w:tc>
      </w:tr>
      <w:tr>
        <w:tc>
          <w:tcPr>
            <w:tcW w:type="dxa" w:w="2551"/>
          </w:tcPr>
          <w:p>
            <w:r/>
            <w:r>
              <w:rPr>
                <w:rFonts w:ascii="Aptos" w:hAnsi="Aptos"/>
                <w:sz w:val="18"/>
              </w:rPr>
              <w:t>Healthcare division performance</w:t>
            </w:r>
          </w:p>
        </w:tc>
        <w:tc>
          <w:tcPr>
            <w:tcW w:type="dxa" w:w="1020"/>
          </w:tcPr>
          <w:p>
            <w:r/>
            <w:r>
              <w:rPr>
                <w:rFonts w:ascii="Aptos" w:hAnsi="Aptos"/>
                <w:sz w:val="18"/>
              </w:rPr>
              <w:t>Strategic</w:t>
            </w:r>
          </w:p>
        </w:tc>
        <w:tc>
          <w:tcPr>
            <w:tcW w:type="dxa" w:w="850"/>
          </w:tcPr>
          <w:p>
            <w:r/>
            <w:r>
              <w:rPr>
                <w:rFonts w:ascii="Aptos" w:hAnsi="Aptos"/>
                <w:sz w:val="18"/>
              </w:rPr>
              <w:t>High</w:t>
            </w:r>
          </w:p>
        </w:tc>
        <w:tc>
          <w:tcPr>
            <w:tcW w:type="dxa" w:w="1020"/>
          </w:tcPr>
          <w:p>
            <w:r/>
            <w:r>
              <w:rPr>
                <w:rFonts w:ascii="Aptos" w:hAnsi="Aptos"/>
                <w:sz w:val="18"/>
              </w:rPr>
              <w:t>High</w:t>
            </w:r>
          </w:p>
        </w:tc>
        <w:tc>
          <w:tcPr>
            <w:tcW w:type="dxa" w:w="567"/>
          </w:tcPr>
          <w:p>
            <w:r/>
            <w:r>
              <w:rPr>
                <w:rFonts w:ascii="Aptos" w:hAnsi="Aptos"/>
                <w:sz w:val="18"/>
              </w:rPr>
              <w:t>↑</w:t>
            </w:r>
          </w:p>
        </w:tc>
        <w:tc>
          <w:tcPr>
            <w:tcW w:type="dxa" w:w="1701"/>
          </w:tcPr>
          <w:p>
            <w:r/>
            <w:r>
              <w:rPr>
                <w:rFonts w:ascii="Aptos" w:hAnsi="Aptos"/>
                <w:sz w:val="18"/>
              </w:rPr>
              <w:t>Div CEO Healthcare</w:t>
            </w:r>
          </w:p>
        </w:tc>
        <w:tc>
          <w:tcPr>
            <w:tcW w:type="dxa" w:w="2835"/>
          </w:tcPr>
          <w:p>
            <w:r/>
            <w:r>
              <w:rPr>
                <w:rFonts w:ascii="Aptos" w:hAnsi="Aptos"/>
                <w:sz w:val="18"/>
              </w:rPr>
              <w:t>Specialist mix + outpatient growth</w:t>
            </w:r>
          </w:p>
        </w:tc>
      </w:tr>
      <w:tr>
        <w:tc>
          <w:tcPr>
            <w:tcW w:type="dxa" w:w="2551"/>
          </w:tcPr>
          <w:p>
            <w:r/>
            <w:r>
              <w:rPr>
                <w:rFonts w:ascii="Aptos" w:hAnsi="Aptos"/>
                <w:sz w:val="18"/>
              </w:rPr>
              <w:t>Regulatory: Indonesia UU PDP</w:t>
            </w:r>
          </w:p>
        </w:tc>
        <w:tc>
          <w:tcPr>
            <w:tcW w:type="dxa" w:w="1020"/>
          </w:tcPr>
          <w:p>
            <w:r/>
            <w:r>
              <w:rPr>
                <w:rFonts w:ascii="Aptos" w:hAnsi="Aptos"/>
                <w:sz w:val="18"/>
              </w:rPr>
              <w:t>Compliance</w:t>
            </w:r>
          </w:p>
        </w:tc>
        <w:tc>
          <w:tcPr>
            <w:tcW w:type="dxa" w:w="850"/>
          </w:tcPr>
          <w:p>
            <w:r/>
            <w:r>
              <w:rPr>
                <w:rFonts w:ascii="Aptos" w:hAnsi="Aptos"/>
                <w:sz w:val="18"/>
              </w:rPr>
              <w:t>Medium</w:t>
            </w:r>
          </w:p>
        </w:tc>
        <w:tc>
          <w:tcPr>
            <w:tcW w:type="dxa" w:w="1020"/>
          </w:tcPr>
          <w:p>
            <w:r/>
            <w:r>
              <w:rPr>
                <w:rFonts w:ascii="Aptos" w:hAnsi="Aptos"/>
                <w:sz w:val="18"/>
              </w:rPr>
              <w:t>Medium</w:t>
            </w:r>
          </w:p>
        </w:tc>
        <w:tc>
          <w:tcPr>
            <w:tcW w:type="dxa" w:w="567"/>
          </w:tcPr>
          <w:p>
            <w:r/>
            <w:r>
              <w:rPr>
                <w:rFonts w:ascii="Aptos" w:hAnsi="Aptos"/>
                <w:sz w:val="18"/>
              </w:rPr>
              <w:t>→</w:t>
            </w:r>
          </w:p>
        </w:tc>
        <w:tc>
          <w:tcPr>
            <w:tcW w:type="dxa" w:w="1701"/>
          </w:tcPr>
          <w:p>
            <w:r/>
            <w:r>
              <w:rPr>
                <w:rFonts w:ascii="Aptos" w:hAnsi="Aptos"/>
                <w:sz w:val="18"/>
              </w:rPr>
              <w:t>Group DPO</w:t>
            </w:r>
          </w:p>
        </w:tc>
        <w:tc>
          <w:tcPr>
            <w:tcW w:type="dxa" w:w="2835"/>
          </w:tcPr>
          <w:p>
            <w:r/>
            <w:r>
              <w:rPr>
                <w:rFonts w:ascii="Aptos" w:hAnsi="Aptos"/>
                <w:sz w:val="18"/>
              </w:rPr>
              <w:t>UU PDP readiness programme</w:t>
            </w:r>
          </w:p>
        </w:tc>
      </w:tr>
      <w:tr>
        <w:tc>
          <w:tcPr>
            <w:tcW w:type="dxa" w:w="2551"/>
          </w:tcPr>
          <w:p>
            <w:r/>
            <w:r>
              <w:rPr>
                <w:rFonts w:ascii="Aptos" w:hAnsi="Aptos"/>
                <w:sz w:val="18"/>
              </w:rPr>
              <w:t>Regulatory: PDPA MY 2024 amend.</w:t>
            </w:r>
          </w:p>
        </w:tc>
        <w:tc>
          <w:tcPr>
            <w:tcW w:type="dxa" w:w="1020"/>
          </w:tcPr>
          <w:p>
            <w:r/>
            <w:r>
              <w:rPr>
                <w:rFonts w:ascii="Aptos" w:hAnsi="Aptos"/>
                <w:sz w:val="18"/>
              </w:rPr>
              <w:t>Compliance</w:t>
            </w:r>
          </w:p>
        </w:tc>
        <w:tc>
          <w:tcPr>
            <w:tcW w:type="dxa" w:w="850"/>
          </w:tcPr>
          <w:p>
            <w:r/>
            <w:r>
              <w:rPr>
                <w:rFonts w:ascii="Aptos" w:hAnsi="Aptos"/>
                <w:sz w:val="18"/>
              </w:rPr>
              <w:t>Medium</w:t>
            </w:r>
          </w:p>
        </w:tc>
        <w:tc>
          <w:tcPr>
            <w:tcW w:type="dxa" w:w="1020"/>
          </w:tcPr>
          <w:p>
            <w:r/>
            <w:r>
              <w:rPr>
                <w:rFonts w:ascii="Aptos" w:hAnsi="Aptos"/>
                <w:sz w:val="18"/>
              </w:rPr>
              <w:t>High</w:t>
            </w:r>
          </w:p>
        </w:tc>
        <w:tc>
          <w:tcPr>
            <w:tcW w:type="dxa" w:w="567"/>
          </w:tcPr>
          <w:p>
            <w:r/>
            <w:r>
              <w:rPr>
                <w:rFonts w:ascii="Aptos" w:hAnsi="Aptos"/>
                <w:sz w:val="18"/>
              </w:rPr>
              <w:t>↑</w:t>
            </w:r>
          </w:p>
        </w:tc>
        <w:tc>
          <w:tcPr>
            <w:tcW w:type="dxa" w:w="1701"/>
          </w:tcPr>
          <w:p>
            <w:r/>
            <w:r>
              <w:rPr>
                <w:rFonts w:ascii="Aptos" w:hAnsi="Aptos"/>
                <w:sz w:val="18"/>
              </w:rPr>
              <w:t>Group DPO</w:t>
            </w:r>
          </w:p>
        </w:tc>
        <w:tc>
          <w:tcPr>
            <w:tcW w:type="dxa" w:w="2835"/>
          </w:tcPr>
          <w:p>
            <w:r/>
            <w:r>
              <w:rPr>
                <w:rFonts w:ascii="Aptos" w:hAnsi="Aptos"/>
                <w:sz w:val="18"/>
              </w:rPr>
              <w:t>DPO appointment + breach process</w:t>
            </w:r>
          </w:p>
        </w:tc>
      </w:tr>
      <w:tr>
        <w:tc>
          <w:tcPr>
            <w:tcW w:type="dxa" w:w="2551"/>
          </w:tcPr>
          <w:p>
            <w:r/>
            <w:r>
              <w:rPr>
                <w:rFonts w:ascii="Aptos" w:hAnsi="Aptos"/>
                <w:sz w:val="18"/>
              </w:rPr>
              <w:t>Counterparty / credit</w:t>
            </w:r>
          </w:p>
        </w:tc>
        <w:tc>
          <w:tcPr>
            <w:tcW w:type="dxa" w:w="1020"/>
          </w:tcPr>
          <w:p>
            <w:r/>
            <w:r>
              <w:rPr>
                <w:rFonts w:ascii="Aptos" w:hAnsi="Aptos"/>
                <w:sz w:val="18"/>
              </w:rPr>
              <w:t>Financial</w:t>
            </w:r>
          </w:p>
        </w:tc>
        <w:tc>
          <w:tcPr>
            <w:tcW w:type="dxa" w:w="850"/>
          </w:tcPr>
          <w:p>
            <w:r/>
            <w:r>
              <w:rPr>
                <w:rFonts w:ascii="Aptos" w:hAnsi="Aptos"/>
                <w:sz w:val="18"/>
              </w:rPr>
              <w:t>Medium</w:t>
            </w:r>
          </w:p>
        </w:tc>
        <w:tc>
          <w:tcPr>
            <w:tcW w:type="dxa" w:w="1020"/>
          </w:tcPr>
          <w:p>
            <w:r/>
            <w:r>
              <w:rPr>
                <w:rFonts w:ascii="Aptos" w:hAnsi="Aptos"/>
                <w:sz w:val="18"/>
              </w:rPr>
              <w:t>Medium</w:t>
            </w:r>
          </w:p>
        </w:tc>
        <w:tc>
          <w:tcPr>
            <w:tcW w:type="dxa" w:w="567"/>
          </w:tcPr>
          <w:p>
            <w:r/>
            <w:r>
              <w:rPr>
                <w:rFonts w:ascii="Aptos" w:hAnsi="Aptos"/>
                <w:sz w:val="18"/>
              </w:rPr>
              <w:t>→</w:t>
            </w:r>
          </w:p>
        </w:tc>
        <w:tc>
          <w:tcPr>
            <w:tcW w:type="dxa" w:w="1701"/>
          </w:tcPr>
          <w:p>
            <w:r/>
            <w:r>
              <w:rPr>
                <w:rFonts w:ascii="Aptos" w:hAnsi="Aptos"/>
                <w:sz w:val="18"/>
              </w:rPr>
              <w:t>Div CFO Trading</w:t>
            </w:r>
          </w:p>
        </w:tc>
        <w:tc>
          <w:tcPr>
            <w:tcW w:type="dxa" w:w="2835"/>
          </w:tcPr>
          <w:p>
            <w:r/>
            <w:r>
              <w:rPr>
                <w:rFonts w:ascii="Aptos" w:hAnsi="Aptos"/>
                <w:sz w:val="18"/>
              </w:rPr>
              <w:t>Credit insurance + LC discipline</w:t>
            </w:r>
          </w:p>
        </w:tc>
      </w:tr>
    </w:tbl>
    <w:p>
      <w:pPr>
        <w:spacing w:after="120" w:line="276" w:lineRule="auto"/>
      </w:pPr>
      <w:r>
        <w:rPr>
          <w:rFonts w:ascii="Aptos" w:hAnsi="Aptos"/>
          <w:b/>
          <w:i w:val="0"/>
          <w:sz w:val="24"/>
        </w:rPr>
        <w:t>10.3 Risk Reporting &amp; Escalation</w:t>
      </w:r>
    </w:p>
    <w:p>
      <w:pPr>
        <w:spacing w:after="120" w:line="276" w:lineRule="auto"/>
      </w:pPr>
      <w:r>
        <w:rPr>
          <w:rFonts w:ascii="Aptos" w:hAnsi="Aptos"/>
          <w:b w:val="0"/>
          <w:i w:val="0"/>
          <w:sz w:val="20"/>
        </w:rPr>
        <w:t>Risks are reported on a quarterly basis to the Group Risk Committee, and to the Audit &amp; Risk Committee of the Board. Material new or escalating risks are escalated within ten (10) business days of identification. Crisis management is governed by the Group Crisis Management Plan, with annual full-scale exercises.</w:t>
      </w:r>
    </w:p>
    <w:p>
      <w:pPr>
        <w:spacing w:after="120" w:line="276" w:lineRule="auto"/>
      </w:pPr>
      <w:r>
        <w:rPr>
          <w:rFonts w:ascii="Aptos" w:hAnsi="Aptos"/>
          <w:b/>
          <w:i w:val="0"/>
          <w:sz w:val="24"/>
        </w:rPr>
        <w:t>10.4 Insurance Programme</w:t>
      </w:r>
    </w:p>
    <w:p>
      <w:pPr>
        <w:spacing w:after="120" w:line="276" w:lineRule="auto"/>
      </w:pPr>
      <w:r>
        <w:rPr>
          <w:rFonts w:ascii="Aptos" w:hAnsi="Aptos"/>
          <w:b w:val="0"/>
          <w:i w:val="0"/>
          <w:sz w:val="20"/>
        </w:rPr>
        <w:t>The Group maintains a coordinated insurance programme covering property damage / business interruption, public &amp; products liability, directors &amp; officers, cyber, marine, environmental, employee benefit, and professional indemnity. The programme is renewed annually, with brokerage handled via two panel brokers (Marsh and Aon) with a competitive split per renewal cycle.</w:t>
      </w:r>
    </w:p>
    <w:p>
      <w:r>
        <w:br w:type="page"/>
      </w:r>
    </w:p>
    <w:p>
      <w:pPr>
        <w:keepNext/>
        <w:spacing w:before="360" w:after="120"/>
      </w:pPr>
      <w:r>
        <w:rPr>
          <w:rFonts w:ascii="Aptos" w:hAnsi="Aptos"/>
          <w:b/>
          <w:color w:val="1F4E79"/>
          <w:sz w:val="40"/>
        </w:rPr>
        <w:t>Appendix A — Approval Matrix (extended)</w:t>
      </w:r>
    </w:p>
    <w:p>
      <w:pPr>
        <w:spacing w:after="120" w:line="276" w:lineRule="auto"/>
      </w:pPr>
      <w:r>
        <w:rPr>
          <w:rFonts w:ascii="Aptos" w:hAnsi="Aptos"/>
          <w:b w:val="0"/>
          <w:i/>
          <w:sz w:val="20"/>
        </w:rPr>
        <w:t>Refer to the full Approval Matrix maintained on the Group Compliance Portal at compliance.zava.com/approval-matrix. The matrix is reviewed annually by the Group Compliance Council and updated with Board approval.</w:t>
      </w:r>
    </w:p>
    <w:p>
      <w:pPr>
        <w:keepNext/>
        <w:spacing w:before="360" w:after="120"/>
      </w:pPr>
      <w:r>
        <w:rPr>
          <w:rFonts w:ascii="Aptos" w:hAnsi="Aptos"/>
          <w:b/>
          <w:color w:val="1F4E79"/>
          <w:sz w:val="40"/>
        </w:rPr>
        <w:t>Appendix B — Definitions &amp; Acronyms</w:t>
      </w:r>
    </w:p>
    <w:tbl>
      <w:tblPr>
        <w:tblStyle w:val="LightGrid-Accent1"/>
        <w:tblW w:type="auto" w:w="0"/>
        <w:tblLook w:firstColumn="1" w:firstRow="1" w:lastColumn="0" w:lastRow="0" w:noHBand="0" w:noVBand="1" w:val="04A0"/>
      </w:tblPr>
      <w:tblGrid>
        <w:gridCol w:w="4873"/>
        <w:gridCol w:w="4873"/>
      </w:tblGrid>
      <w:tr>
        <w:tc>
          <w:tcPr>
            <w:tcW w:type="dxa" w:w="1984"/>
            <w:shd w:val="clear" w:color="auto" w:fill="1F4E79"/>
          </w:tcPr>
          <w:p>
            <w:r/>
            <w:r>
              <w:rPr>
                <w:rFonts w:ascii="Aptos" w:hAnsi="Aptos"/>
                <w:b/>
                <w:color w:val="FFFFFF"/>
                <w:sz w:val="20"/>
              </w:rPr>
              <w:t>Term</w:t>
            </w:r>
          </w:p>
        </w:tc>
        <w:tc>
          <w:tcPr>
            <w:tcW w:type="dxa" w:w="7654"/>
            <w:shd w:val="clear" w:color="auto" w:fill="1F4E79"/>
          </w:tcPr>
          <w:p>
            <w:r/>
            <w:r>
              <w:rPr>
                <w:rFonts w:ascii="Aptos" w:hAnsi="Aptos"/>
                <w:b/>
                <w:color w:val="FFFFFF"/>
                <w:sz w:val="20"/>
              </w:rPr>
              <w:t>Definition</w:t>
            </w:r>
          </w:p>
        </w:tc>
      </w:tr>
      <w:tr>
        <w:tc>
          <w:tcPr>
            <w:tcW w:type="dxa" w:w="1984"/>
          </w:tcPr>
          <w:p>
            <w:r/>
            <w:r>
              <w:rPr>
                <w:rFonts w:ascii="Aptos" w:hAnsi="Aptos"/>
                <w:sz w:val="18"/>
              </w:rPr>
              <w:t>AGM</w:t>
            </w:r>
          </w:p>
        </w:tc>
        <w:tc>
          <w:tcPr>
            <w:tcW w:type="dxa" w:w="7654"/>
          </w:tcPr>
          <w:p>
            <w:r/>
            <w:r>
              <w:rPr>
                <w:rFonts w:ascii="Aptos" w:hAnsi="Aptos"/>
                <w:sz w:val="18"/>
              </w:rPr>
              <w:t>Assistant General Manager (JG7)</w:t>
            </w:r>
          </w:p>
        </w:tc>
      </w:tr>
      <w:tr>
        <w:tc>
          <w:tcPr>
            <w:tcW w:type="dxa" w:w="1984"/>
          </w:tcPr>
          <w:p>
            <w:r/>
            <w:r>
              <w:rPr>
                <w:rFonts w:ascii="Aptos" w:hAnsi="Aptos"/>
                <w:sz w:val="18"/>
              </w:rPr>
              <w:t>AMLA</w:t>
            </w:r>
          </w:p>
        </w:tc>
        <w:tc>
          <w:tcPr>
            <w:tcW w:type="dxa" w:w="7654"/>
          </w:tcPr>
          <w:p>
            <w:r/>
            <w:r>
              <w:rPr>
                <w:rFonts w:ascii="Aptos" w:hAnsi="Aptos"/>
                <w:sz w:val="18"/>
              </w:rPr>
              <w:t>Anti-Money Laundering, Anti-Terrorism Financing &amp; Proceeds of Unlawful Activities Act 2001 (Malaysia)</w:t>
            </w:r>
          </w:p>
        </w:tc>
      </w:tr>
      <w:tr>
        <w:tc>
          <w:tcPr>
            <w:tcW w:type="dxa" w:w="1984"/>
          </w:tcPr>
          <w:p>
            <w:r/>
            <w:r>
              <w:rPr>
                <w:rFonts w:ascii="Aptos" w:hAnsi="Aptos"/>
                <w:sz w:val="18"/>
              </w:rPr>
              <w:t>BNM</w:t>
            </w:r>
          </w:p>
        </w:tc>
        <w:tc>
          <w:tcPr>
            <w:tcW w:type="dxa" w:w="7654"/>
          </w:tcPr>
          <w:p>
            <w:r/>
            <w:r>
              <w:rPr>
                <w:rFonts w:ascii="Aptos" w:hAnsi="Aptos"/>
                <w:sz w:val="18"/>
              </w:rPr>
              <w:t>Bank Negara Malaysia</w:t>
            </w:r>
          </w:p>
        </w:tc>
      </w:tr>
      <w:tr>
        <w:tc>
          <w:tcPr>
            <w:tcW w:type="dxa" w:w="1984"/>
          </w:tcPr>
          <w:p>
            <w:r/>
            <w:r>
              <w:rPr>
                <w:rFonts w:ascii="Aptos" w:hAnsi="Aptos"/>
                <w:sz w:val="18"/>
              </w:rPr>
              <w:t>BPJS</w:t>
            </w:r>
          </w:p>
        </w:tc>
        <w:tc>
          <w:tcPr>
            <w:tcW w:type="dxa" w:w="7654"/>
          </w:tcPr>
          <w:p>
            <w:r/>
            <w:r>
              <w:rPr>
                <w:rFonts w:ascii="Aptos" w:hAnsi="Aptos"/>
                <w:sz w:val="18"/>
              </w:rPr>
              <w:t>Badan Penyelenggara Jaminan Sosial (Indonesia social security)</w:t>
            </w:r>
          </w:p>
        </w:tc>
      </w:tr>
      <w:tr>
        <w:tc>
          <w:tcPr>
            <w:tcW w:type="dxa" w:w="1984"/>
          </w:tcPr>
          <w:p>
            <w:r/>
            <w:r>
              <w:rPr>
                <w:rFonts w:ascii="Aptos" w:hAnsi="Aptos"/>
                <w:sz w:val="18"/>
              </w:rPr>
              <w:t>BCR</w:t>
            </w:r>
          </w:p>
        </w:tc>
        <w:tc>
          <w:tcPr>
            <w:tcW w:type="dxa" w:w="7654"/>
          </w:tcPr>
          <w:p>
            <w:r/>
            <w:r>
              <w:rPr>
                <w:rFonts w:ascii="Aptos" w:hAnsi="Aptos"/>
                <w:sz w:val="18"/>
              </w:rPr>
              <w:t>Binding Corporate Rules</w:t>
            </w:r>
          </w:p>
        </w:tc>
      </w:tr>
      <w:tr>
        <w:tc>
          <w:tcPr>
            <w:tcW w:type="dxa" w:w="1984"/>
          </w:tcPr>
          <w:p>
            <w:r/>
            <w:r>
              <w:rPr>
                <w:rFonts w:ascii="Aptos" w:hAnsi="Aptos"/>
                <w:sz w:val="18"/>
              </w:rPr>
              <w:t>CCPS</w:t>
            </w:r>
          </w:p>
        </w:tc>
        <w:tc>
          <w:tcPr>
            <w:tcW w:type="dxa" w:w="7654"/>
          </w:tcPr>
          <w:p>
            <w:r/>
            <w:r>
              <w:rPr>
                <w:rFonts w:ascii="Aptos" w:hAnsi="Aptos"/>
                <w:sz w:val="18"/>
              </w:rPr>
              <w:t>Center for Chemical Process Safety</w:t>
            </w:r>
          </w:p>
        </w:tc>
      </w:tr>
      <w:tr>
        <w:tc>
          <w:tcPr>
            <w:tcW w:type="dxa" w:w="1984"/>
          </w:tcPr>
          <w:p>
            <w:r/>
            <w:r>
              <w:rPr>
                <w:rFonts w:ascii="Aptos" w:hAnsi="Aptos"/>
                <w:sz w:val="18"/>
              </w:rPr>
              <w:t>CFT</w:t>
            </w:r>
          </w:p>
        </w:tc>
        <w:tc>
          <w:tcPr>
            <w:tcW w:type="dxa" w:w="7654"/>
          </w:tcPr>
          <w:p>
            <w:r/>
            <w:r>
              <w:rPr>
                <w:rFonts w:ascii="Aptos" w:hAnsi="Aptos"/>
                <w:sz w:val="18"/>
              </w:rPr>
              <w:t>Combating the Financing of Terrorism</w:t>
            </w:r>
          </w:p>
        </w:tc>
      </w:tr>
      <w:tr>
        <w:tc>
          <w:tcPr>
            <w:tcW w:type="dxa" w:w="1984"/>
          </w:tcPr>
          <w:p>
            <w:r/>
            <w:r>
              <w:rPr>
                <w:rFonts w:ascii="Aptos" w:hAnsi="Aptos"/>
                <w:sz w:val="18"/>
              </w:rPr>
              <w:t>CPD/CPE</w:t>
            </w:r>
          </w:p>
        </w:tc>
        <w:tc>
          <w:tcPr>
            <w:tcW w:type="dxa" w:w="7654"/>
          </w:tcPr>
          <w:p>
            <w:r/>
            <w:r>
              <w:rPr>
                <w:rFonts w:ascii="Aptos" w:hAnsi="Aptos"/>
                <w:sz w:val="18"/>
              </w:rPr>
              <w:t>Continuing Professional Development / Education</w:t>
            </w:r>
          </w:p>
        </w:tc>
      </w:tr>
      <w:tr>
        <w:tc>
          <w:tcPr>
            <w:tcW w:type="dxa" w:w="1984"/>
          </w:tcPr>
          <w:p>
            <w:r/>
            <w:r>
              <w:rPr>
                <w:rFonts w:ascii="Aptos" w:hAnsi="Aptos"/>
                <w:sz w:val="18"/>
              </w:rPr>
              <w:t>DPO</w:t>
            </w:r>
          </w:p>
        </w:tc>
        <w:tc>
          <w:tcPr>
            <w:tcW w:type="dxa" w:w="7654"/>
          </w:tcPr>
          <w:p>
            <w:r/>
            <w:r>
              <w:rPr>
                <w:rFonts w:ascii="Aptos" w:hAnsi="Aptos"/>
                <w:sz w:val="18"/>
              </w:rPr>
              <w:t>Data Protection Officer</w:t>
            </w:r>
          </w:p>
        </w:tc>
      </w:tr>
      <w:tr>
        <w:tc>
          <w:tcPr>
            <w:tcW w:type="dxa" w:w="1984"/>
          </w:tcPr>
          <w:p>
            <w:r/>
            <w:r>
              <w:rPr>
                <w:rFonts w:ascii="Aptos" w:hAnsi="Aptos"/>
                <w:sz w:val="18"/>
              </w:rPr>
              <w:t>EBITDA</w:t>
            </w:r>
          </w:p>
        </w:tc>
        <w:tc>
          <w:tcPr>
            <w:tcW w:type="dxa" w:w="7654"/>
          </w:tcPr>
          <w:p>
            <w:r/>
            <w:r>
              <w:rPr>
                <w:rFonts w:ascii="Aptos" w:hAnsi="Aptos"/>
                <w:sz w:val="18"/>
              </w:rPr>
              <w:t>Earnings before Interest, Tax, Depreciation, Amortisation</w:t>
            </w:r>
          </w:p>
        </w:tc>
      </w:tr>
      <w:tr>
        <w:tc>
          <w:tcPr>
            <w:tcW w:type="dxa" w:w="1984"/>
          </w:tcPr>
          <w:p>
            <w:r/>
            <w:r>
              <w:rPr>
                <w:rFonts w:ascii="Aptos" w:hAnsi="Aptos"/>
                <w:sz w:val="18"/>
              </w:rPr>
              <w:t>EPM</w:t>
            </w:r>
          </w:p>
        </w:tc>
        <w:tc>
          <w:tcPr>
            <w:tcW w:type="dxa" w:w="7654"/>
          </w:tcPr>
          <w:p>
            <w:r/>
            <w:r>
              <w:rPr>
                <w:rFonts w:ascii="Aptos" w:hAnsi="Aptos"/>
                <w:sz w:val="18"/>
              </w:rPr>
              <w:t>Enterprise Performance Management</w:t>
            </w:r>
          </w:p>
        </w:tc>
      </w:tr>
      <w:tr>
        <w:tc>
          <w:tcPr>
            <w:tcW w:type="dxa" w:w="1984"/>
          </w:tcPr>
          <w:p>
            <w:r/>
            <w:r>
              <w:rPr>
                <w:rFonts w:ascii="Aptos" w:hAnsi="Aptos"/>
                <w:sz w:val="18"/>
              </w:rPr>
              <w:t>ERM</w:t>
            </w:r>
          </w:p>
        </w:tc>
        <w:tc>
          <w:tcPr>
            <w:tcW w:type="dxa" w:w="7654"/>
          </w:tcPr>
          <w:p>
            <w:r/>
            <w:r>
              <w:rPr>
                <w:rFonts w:ascii="Aptos" w:hAnsi="Aptos"/>
                <w:sz w:val="18"/>
              </w:rPr>
              <w:t>Enterprise Risk Management</w:t>
            </w:r>
          </w:p>
        </w:tc>
      </w:tr>
      <w:tr>
        <w:tc>
          <w:tcPr>
            <w:tcW w:type="dxa" w:w="1984"/>
          </w:tcPr>
          <w:p>
            <w:r/>
            <w:r>
              <w:rPr>
                <w:rFonts w:ascii="Aptos" w:hAnsi="Aptos"/>
                <w:sz w:val="18"/>
              </w:rPr>
              <w:t>FATF</w:t>
            </w:r>
          </w:p>
        </w:tc>
        <w:tc>
          <w:tcPr>
            <w:tcW w:type="dxa" w:w="7654"/>
          </w:tcPr>
          <w:p>
            <w:r/>
            <w:r>
              <w:rPr>
                <w:rFonts w:ascii="Aptos" w:hAnsi="Aptos"/>
                <w:sz w:val="18"/>
              </w:rPr>
              <w:t>Financial Action Task Force</w:t>
            </w:r>
          </w:p>
        </w:tc>
      </w:tr>
      <w:tr>
        <w:tc>
          <w:tcPr>
            <w:tcW w:type="dxa" w:w="1984"/>
          </w:tcPr>
          <w:p>
            <w:r/>
            <w:r>
              <w:rPr>
                <w:rFonts w:ascii="Aptos" w:hAnsi="Aptos"/>
                <w:sz w:val="18"/>
              </w:rPr>
              <w:t>FPIC</w:t>
            </w:r>
          </w:p>
        </w:tc>
        <w:tc>
          <w:tcPr>
            <w:tcW w:type="dxa" w:w="7654"/>
          </w:tcPr>
          <w:p>
            <w:r/>
            <w:r>
              <w:rPr>
                <w:rFonts w:ascii="Aptos" w:hAnsi="Aptos"/>
                <w:sz w:val="18"/>
              </w:rPr>
              <w:t>Free, Prior and Informed Consent</w:t>
            </w:r>
          </w:p>
        </w:tc>
      </w:tr>
      <w:tr>
        <w:tc>
          <w:tcPr>
            <w:tcW w:type="dxa" w:w="1984"/>
          </w:tcPr>
          <w:p>
            <w:r/>
            <w:r>
              <w:rPr>
                <w:rFonts w:ascii="Aptos" w:hAnsi="Aptos"/>
                <w:sz w:val="18"/>
              </w:rPr>
              <w:t>FCPA</w:t>
            </w:r>
          </w:p>
        </w:tc>
        <w:tc>
          <w:tcPr>
            <w:tcW w:type="dxa" w:w="7654"/>
          </w:tcPr>
          <w:p>
            <w:r/>
            <w:r>
              <w:rPr>
                <w:rFonts w:ascii="Aptos" w:hAnsi="Aptos"/>
                <w:sz w:val="18"/>
              </w:rPr>
              <w:t>US Foreign Corrupt Practices Act</w:t>
            </w:r>
          </w:p>
        </w:tc>
      </w:tr>
      <w:tr>
        <w:tc>
          <w:tcPr>
            <w:tcW w:type="dxa" w:w="1984"/>
          </w:tcPr>
          <w:p>
            <w:r/>
            <w:r>
              <w:rPr>
                <w:rFonts w:ascii="Aptos" w:hAnsi="Aptos"/>
                <w:sz w:val="18"/>
              </w:rPr>
              <w:t>GDPR</w:t>
            </w:r>
          </w:p>
        </w:tc>
        <w:tc>
          <w:tcPr>
            <w:tcW w:type="dxa" w:w="7654"/>
          </w:tcPr>
          <w:p>
            <w:r/>
            <w:r>
              <w:rPr>
                <w:rFonts w:ascii="Aptos" w:hAnsi="Aptos"/>
                <w:sz w:val="18"/>
              </w:rPr>
              <w:t>General Data Protection Regulation (EU)</w:t>
            </w:r>
          </w:p>
        </w:tc>
      </w:tr>
      <w:tr>
        <w:tc>
          <w:tcPr>
            <w:tcW w:type="dxa" w:w="1984"/>
          </w:tcPr>
          <w:p>
            <w:r/>
            <w:r>
              <w:rPr>
                <w:rFonts w:ascii="Aptos" w:hAnsi="Aptos"/>
                <w:sz w:val="18"/>
              </w:rPr>
              <w:t>GHS</w:t>
            </w:r>
          </w:p>
        </w:tc>
        <w:tc>
          <w:tcPr>
            <w:tcW w:type="dxa" w:w="7654"/>
          </w:tcPr>
          <w:p>
            <w:r/>
            <w:r>
              <w:rPr>
                <w:rFonts w:ascii="Aptos" w:hAnsi="Aptos"/>
                <w:sz w:val="18"/>
              </w:rPr>
              <w:t>Group Hospital &amp; Surgical insurance</w:t>
            </w:r>
          </w:p>
        </w:tc>
      </w:tr>
      <w:tr>
        <w:tc>
          <w:tcPr>
            <w:tcW w:type="dxa" w:w="1984"/>
          </w:tcPr>
          <w:p>
            <w:r/>
            <w:r>
              <w:rPr>
                <w:rFonts w:ascii="Aptos" w:hAnsi="Aptos"/>
                <w:sz w:val="18"/>
              </w:rPr>
              <w:t>GTL</w:t>
            </w:r>
          </w:p>
        </w:tc>
        <w:tc>
          <w:tcPr>
            <w:tcW w:type="dxa" w:w="7654"/>
          </w:tcPr>
          <w:p>
            <w:r/>
            <w:r>
              <w:rPr>
                <w:rFonts w:ascii="Aptos" w:hAnsi="Aptos"/>
                <w:sz w:val="18"/>
              </w:rPr>
              <w:t>Group Term Life insurance</w:t>
            </w:r>
          </w:p>
        </w:tc>
      </w:tr>
      <w:tr>
        <w:tc>
          <w:tcPr>
            <w:tcW w:type="dxa" w:w="1984"/>
          </w:tcPr>
          <w:p>
            <w:r/>
            <w:r>
              <w:rPr>
                <w:rFonts w:ascii="Aptos" w:hAnsi="Aptos"/>
                <w:sz w:val="18"/>
              </w:rPr>
              <w:t>HiPo</w:t>
            </w:r>
          </w:p>
        </w:tc>
        <w:tc>
          <w:tcPr>
            <w:tcW w:type="dxa" w:w="7654"/>
          </w:tcPr>
          <w:p>
            <w:r/>
            <w:r>
              <w:rPr>
                <w:rFonts w:ascii="Aptos" w:hAnsi="Aptos"/>
                <w:sz w:val="18"/>
              </w:rPr>
              <w:t>High-potential incident</w:t>
            </w:r>
          </w:p>
        </w:tc>
      </w:tr>
      <w:tr>
        <w:tc>
          <w:tcPr>
            <w:tcW w:type="dxa" w:w="1984"/>
          </w:tcPr>
          <w:p>
            <w:r/>
            <w:r>
              <w:rPr>
                <w:rFonts w:ascii="Aptos" w:hAnsi="Aptos"/>
                <w:sz w:val="18"/>
              </w:rPr>
              <w:t>IHB</w:t>
            </w:r>
          </w:p>
        </w:tc>
        <w:tc>
          <w:tcPr>
            <w:tcW w:type="dxa" w:w="7654"/>
          </w:tcPr>
          <w:p>
            <w:r/>
            <w:r>
              <w:rPr>
                <w:rFonts w:ascii="Aptos" w:hAnsi="Aptos"/>
                <w:sz w:val="18"/>
              </w:rPr>
              <w:t>In-House Bank</w:t>
            </w:r>
          </w:p>
        </w:tc>
      </w:tr>
      <w:tr>
        <w:tc>
          <w:tcPr>
            <w:tcW w:type="dxa" w:w="1984"/>
          </w:tcPr>
          <w:p>
            <w:r/>
            <w:r>
              <w:rPr>
                <w:rFonts w:ascii="Aptos" w:hAnsi="Aptos"/>
                <w:sz w:val="18"/>
              </w:rPr>
              <w:t>INED</w:t>
            </w:r>
          </w:p>
        </w:tc>
        <w:tc>
          <w:tcPr>
            <w:tcW w:type="dxa" w:w="7654"/>
          </w:tcPr>
          <w:p>
            <w:r/>
            <w:r>
              <w:rPr>
                <w:rFonts w:ascii="Aptos" w:hAnsi="Aptos"/>
                <w:sz w:val="18"/>
              </w:rPr>
              <w:t>Independent Non-Executive Director</w:t>
            </w:r>
          </w:p>
        </w:tc>
      </w:tr>
      <w:tr>
        <w:tc>
          <w:tcPr>
            <w:tcW w:type="dxa" w:w="1984"/>
          </w:tcPr>
          <w:p>
            <w:r/>
            <w:r>
              <w:rPr>
                <w:rFonts w:ascii="Aptos" w:hAnsi="Aptos"/>
                <w:sz w:val="18"/>
              </w:rPr>
              <w:t>IRBM</w:t>
            </w:r>
          </w:p>
        </w:tc>
        <w:tc>
          <w:tcPr>
            <w:tcW w:type="dxa" w:w="7654"/>
          </w:tcPr>
          <w:p>
            <w:r/>
            <w:r>
              <w:rPr>
                <w:rFonts w:ascii="Aptos" w:hAnsi="Aptos"/>
                <w:sz w:val="18"/>
              </w:rPr>
              <w:t>Inland Revenue Board Malaysia</w:t>
            </w:r>
          </w:p>
        </w:tc>
      </w:tr>
      <w:tr>
        <w:tc>
          <w:tcPr>
            <w:tcW w:type="dxa" w:w="1984"/>
          </w:tcPr>
          <w:p>
            <w:r/>
            <w:r>
              <w:rPr>
                <w:rFonts w:ascii="Aptos" w:hAnsi="Aptos"/>
                <w:sz w:val="18"/>
              </w:rPr>
              <w:t>JG</w:t>
            </w:r>
          </w:p>
        </w:tc>
        <w:tc>
          <w:tcPr>
            <w:tcW w:type="dxa" w:w="7654"/>
          </w:tcPr>
          <w:p>
            <w:r/>
            <w:r>
              <w:rPr>
                <w:rFonts w:ascii="Aptos" w:hAnsi="Aptos"/>
                <w:sz w:val="18"/>
              </w:rPr>
              <w:t>Job Grade</w:t>
            </w:r>
          </w:p>
        </w:tc>
      </w:tr>
      <w:tr>
        <w:tc>
          <w:tcPr>
            <w:tcW w:type="dxa" w:w="1984"/>
          </w:tcPr>
          <w:p>
            <w:r/>
            <w:r>
              <w:rPr>
                <w:rFonts w:ascii="Aptos" w:hAnsi="Aptos"/>
                <w:sz w:val="18"/>
              </w:rPr>
              <w:t>JPDP</w:t>
            </w:r>
          </w:p>
        </w:tc>
        <w:tc>
          <w:tcPr>
            <w:tcW w:type="dxa" w:w="7654"/>
          </w:tcPr>
          <w:p>
            <w:r/>
            <w:r>
              <w:rPr>
                <w:rFonts w:ascii="Aptos" w:hAnsi="Aptos"/>
                <w:sz w:val="18"/>
              </w:rPr>
              <w:t>Jabatan Perlindungan Data Peribadi (Malaysia DP Authority)</w:t>
            </w:r>
          </w:p>
        </w:tc>
      </w:tr>
      <w:tr>
        <w:tc>
          <w:tcPr>
            <w:tcW w:type="dxa" w:w="1984"/>
          </w:tcPr>
          <w:p>
            <w:r/>
            <w:r>
              <w:rPr>
                <w:rFonts w:ascii="Aptos" w:hAnsi="Aptos"/>
                <w:sz w:val="18"/>
              </w:rPr>
              <w:t>KYV</w:t>
            </w:r>
          </w:p>
        </w:tc>
        <w:tc>
          <w:tcPr>
            <w:tcW w:type="dxa" w:w="7654"/>
          </w:tcPr>
          <w:p>
            <w:r/>
            <w:r>
              <w:rPr>
                <w:rFonts w:ascii="Aptos" w:hAnsi="Aptos"/>
                <w:sz w:val="18"/>
              </w:rPr>
              <w:t>Know Your Vendor</w:t>
            </w:r>
          </w:p>
        </w:tc>
      </w:tr>
      <w:tr>
        <w:tc>
          <w:tcPr>
            <w:tcW w:type="dxa" w:w="1984"/>
          </w:tcPr>
          <w:p>
            <w:r/>
            <w:r>
              <w:rPr>
                <w:rFonts w:ascii="Aptos" w:hAnsi="Aptos"/>
                <w:sz w:val="18"/>
              </w:rPr>
              <w:t>LC</w:t>
            </w:r>
          </w:p>
        </w:tc>
        <w:tc>
          <w:tcPr>
            <w:tcW w:type="dxa" w:w="7654"/>
          </w:tcPr>
          <w:p>
            <w:r/>
            <w:r>
              <w:rPr>
                <w:rFonts w:ascii="Aptos" w:hAnsi="Aptos"/>
                <w:sz w:val="18"/>
              </w:rPr>
              <w:t>Letter of Credit</w:t>
            </w:r>
          </w:p>
        </w:tc>
      </w:tr>
      <w:tr>
        <w:tc>
          <w:tcPr>
            <w:tcW w:type="dxa" w:w="1984"/>
          </w:tcPr>
          <w:p>
            <w:r/>
            <w:r>
              <w:rPr>
                <w:rFonts w:ascii="Aptos" w:hAnsi="Aptos"/>
                <w:sz w:val="18"/>
              </w:rPr>
              <w:t>MACC</w:t>
            </w:r>
          </w:p>
        </w:tc>
        <w:tc>
          <w:tcPr>
            <w:tcW w:type="dxa" w:w="7654"/>
          </w:tcPr>
          <w:p>
            <w:r/>
            <w:r>
              <w:rPr>
                <w:rFonts w:ascii="Aptos" w:hAnsi="Aptos"/>
                <w:sz w:val="18"/>
              </w:rPr>
              <w:t>Malaysian Anti-Corruption Commission</w:t>
            </w:r>
          </w:p>
        </w:tc>
      </w:tr>
      <w:tr>
        <w:tc>
          <w:tcPr>
            <w:tcW w:type="dxa" w:w="1984"/>
          </w:tcPr>
          <w:p>
            <w:r/>
            <w:r>
              <w:rPr>
                <w:rFonts w:ascii="Aptos" w:hAnsi="Aptos"/>
                <w:sz w:val="18"/>
              </w:rPr>
              <w:t>MFRS</w:t>
            </w:r>
          </w:p>
        </w:tc>
        <w:tc>
          <w:tcPr>
            <w:tcW w:type="dxa" w:w="7654"/>
          </w:tcPr>
          <w:p>
            <w:r/>
            <w:r>
              <w:rPr>
                <w:rFonts w:ascii="Aptos" w:hAnsi="Aptos"/>
                <w:sz w:val="18"/>
              </w:rPr>
              <w:t>Malaysian Financial Reporting Standards (IFRS-equivalent)</w:t>
            </w:r>
          </w:p>
        </w:tc>
      </w:tr>
      <w:tr>
        <w:tc>
          <w:tcPr>
            <w:tcW w:type="dxa" w:w="1984"/>
          </w:tcPr>
          <w:p>
            <w:r/>
            <w:r>
              <w:rPr>
                <w:rFonts w:ascii="Aptos" w:hAnsi="Aptos"/>
                <w:sz w:val="18"/>
              </w:rPr>
              <w:t>MITI</w:t>
            </w:r>
          </w:p>
        </w:tc>
        <w:tc>
          <w:tcPr>
            <w:tcW w:type="dxa" w:w="7654"/>
          </w:tcPr>
          <w:p>
            <w:r/>
            <w:r>
              <w:rPr>
                <w:rFonts w:ascii="Aptos" w:hAnsi="Aptos"/>
                <w:sz w:val="18"/>
              </w:rPr>
              <w:t>Ministry of International Trade &amp; Industry (MY)</w:t>
            </w:r>
          </w:p>
        </w:tc>
      </w:tr>
      <w:tr>
        <w:tc>
          <w:tcPr>
            <w:tcW w:type="dxa" w:w="1984"/>
          </w:tcPr>
          <w:p>
            <w:r/>
            <w:r>
              <w:rPr>
                <w:rFonts w:ascii="Aptos" w:hAnsi="Aptos"/>
                <w:sz w:val="18"/>
              </w:rPr>
              <w:t>NDPE</w:t>
            </w:r>
          </w:p>
        </w:tc>
        <w:tc>
          <w:tcPr>
            <w:tcW w:type="dxa" w:w="7654"/>
          </w:tcPr>
          <w:p>
            <w:r/>
            <w:r>
              <w:rPr>
                <w:rFonts w:ascii="Aptos" w:hAnsi="Aptos"/>
                <w:sz w:val="18"/>
              </w:rPr>
              <w:t>No Deforestation, No Peat, No Exploitation</w:t>
            </w:r>
          </w:p>
        </w:tc>
      </w:tr>
      <w:tr>
        <w:tc>
          <w:tcPr>
            <w:tcW w:type="dxa" w:w="1984"/>
          </w:tcPr>
          <w:p>
            <w:r/>
            <w:r>
              <w:rPr>
                <w:rFonts w:ascii="Aptos" w:hAnsi="Aptos"/>
                <w:sz w:val="18"/>
              </w:rPr>
              <w:t>OECD</w:t>
            </w:r>
          </w:p>
        </w:tc>
        <w:tc>
          <w:tcPr>
            <w:tcW w:type="dxa" w:w="7654"/>
          </w:tcPr>
          <w:p>
            <w:r/>
            <w:r>
              <w:rPr>
                <w:rFonts w:ascii="Aptos" w:hAnsi="Aptos"/>
                <w:sz w:val="18"/>
              </w:rPr>
              <w:t>Organisation for Economic Co-operation and Development</w:t>
            </w:r>
          </w:p>
        </w:tc>
      </w:tr>
      <w:tr>
        <w:tc>
          <w:tcPr>
            <w:tcW w:type="dxa" w:w="1984"/>
          </w:tcPr>
          <w:p>
            <w:r/>
            <w:r>
              <w:rPr>
                <w:rFonts w:ascii="Aptos" w:hAnsi="Aptos"/>
                <w:sz w:val="18"/>
              </w:rPr>
              <w:t>OJK</w:t>
            </w:r>
          </w:p>
        </w:tc>
        <w:tc>
          <w:tcPr>
            <w:tcW w:type="dxa" w:w="7654"/>
          </w:tcPr>
          <w:p>
            <w:r/>
            <w:r>
              <w:rPr>
                <w:rFonts w:ascii="Aptos" w:hAnsi="Aptos"/>
                <w:sz w:val="18"/>
              </w:rPr>
              <w:t>Otoritas Jasa Keuangan (Indonesia FSA)</w:t>
            </w:r>
          </w:p>
        </w:tc>
      </w:tr>
      <w:tr>
        <w:tc>
          <w:tcPr>
            <w:tcW w:type="dxa" w:w="1984"/>
          </w:tcPr>
          <w:p>
            <w:r/>
            <w:r>
              <w:rPr>
                <w:rFonts w:ascii="Aptos" w:hAnsi="Aptos"/>
                <w:sz w:val="18"/>
              </w:rPr>
              <w:t>PDPA</w:t>
            </w:r>
          </w:p>
        </w:tc>
        <w:tc>
          <w:tcPr>
            <w:tcW w:type="dxa" w:w="7654"/>
          </w:tcPr>
          <w:p>
            <w:r/>
            <w:r>
              <w:rPr>
                <w:rFonts w:ascii="Aptos" w:hAnsi="Aptos"/>
                <w:sz w:val="18"/>
              </w:rPr>
              <w:t>Personal Data Protection Act</w:t>
            </w:r>
          </w:p>
        </w:tc>
      </w:tr>
      <w:tr>
        <w:tc>
          <w:tcPr>
            <w:tcW w:type="dxa" w:w="1984"/>
          </w:tcPr>
          <w:p>
            <w:r/>
            <w:r>
              <w:rPr>
                <w:rFonts w:ascii="Aptos" w:hAnsi="Aptos"/>
                <w:sz w:val="18"/>
              </w:rPr>
              <w:t>PHA</w:t>
            </w:r>
          </w:p>
        </w:tc>
        <w:tc>
          <w:tcPr>
            <w:tcW w:type="dxa" w:w="7654"/>
          </w:tcPr>
          <w:p>
            <w:r/>
            <w:r>
              <w:rPr>
                <w:rFonts w:ascii="Aptos" w:hAnsi="Aptos"/>
                <w:sz w:val="18"/>
              </w:rPr>
              <w:t>Process Hazard Analysis</w:t>
            </w:r>
          </w:p>
        </w:tc>
      </w:tr>
      <w:tr>
        <w:tc>
          <w:tcPr>
            <w:tcW w:type="dxa" w:w="1984"/>
          </w:tcPr>
          <w:p>
            <w:r/>
            <w:r>
              <w:rPr>
                <w:rFonts w:ascii="Aptos" w:hAnsi="Aptos"/>
                <w:sz w:val="18"/>
              </w:rPr>
              <w:t>PSAK</w:t>
            </w:r>
          </w:p>
        </w:tc>
        <w:tc>
          <w:tcPr>
            <w:tcW w:type="dxa" w:w="7654"/>
          </w:tcPr>
          <w:p>
            <w:r/>
            <w:r>
              <w:rPr>
                <w:rFonts w:ascii="Aptos" w:hAnsi="Aptos"/>
                <w:sz w:val="18"/>
              </w:rPr>
              <w:t>Pernyataan Standar Akuntansi Keuangan (Indonesia GAAP)</w:t>
            </w:r>
          </w:p>
        </w:tc>
      </w:tr>
      <w:tr>
        <w:tc>
          <w:tcPr>
            <w:tcW w:type="dxa" w:w="1984"/>
          </w:tcPr>
          <w:p>
            <w:r/>
            <w:r>
              <w:rPr>
                <w:rFonts w:ascii="Aptos" w:hAnsi="Aptos"/>
                <w:sz w:val="18"/>
              </w:rPr>
              <w:t>PSU</w:t>
            </w:r>
          </w:p>
        </w:tc>
        <w:tc>
          <w:tcPr>
            <w:tcW w:type="dxa" w:w="7654"/>
          </w:tcPr>
          <w:p>
            <w:r/>
            <w:r>
              <w:rPr>
                <w:rFonts w:ascii="Aptos" w:hAnsi="Aptos"/>
                <w:sz w:val="18"/>
              </w:rPr>
              <w:t>Performance Share Unit</w:t>
            </w:r>
          </w:p>
        </w:tc>
      </w:tr>
      <w:tr>
        <w:tc>
          <w:tcPr>
            <w:tcW w:type="dxa" w:w="1984"/>
          </w:tcPr>
          <w:p>
            <w:r/>
            <w:r>
              <w:rPr>
                <w:rFonts w:ascii="Aptos" w:hAnsi="Aptos"/>
                <w:sz w:val="18"/>
              </w:rPr>
              <w:t>RPT</w:t>
            </w:r>
          </w:p>
        </w:tc>
        <w:tc>
          <w:tcPr>
            <w:tcW w:type="dxa" w:w="7654"/>
          </w:tcPr>
          <w:p>
            <w:r/>
            <w:r>
              <w:rPr>
                <w:rFonts w:ascii="Aptos" w:hAnsi="Aptos"/>
                <w:sz w:val="18"/>
              </w:rPr>
              <w:t>Related Party Transaction</w:t>
            </w:r>
          </w:p>
        </w:tc>
      </w:tr>
      <w:tr>
        <w:tc>
          <w:tcPr>
            <w:tcW w:type="dxa" w:w="1984"/>
          </w:tcPr>
          <w:p>
            <w:r/>
            <w:r>
              <w:rPr>
                <w:rFonts w:ascii="Aptos" w:hAnsi="Aptos"/>
                <w:sz w:val="18"/>
              </w:rPr>
              <w:t>RSPO</w:t>
            </w:r>
          </w:p>
        </w:tc>
        <w:tc>
          <w:tcPr>
            <w:tcW w:type="dxa" w:w="7654"/>
          </w:tcPr>
          <w:p>
            <w:r/>
            <w:r>
              <w:rPr>
                <w:rFonts w:ascii="Aptos" w:hAnsi="Aptos"/>
                <w:sz w:val="18"/>
              </w:rPr>
              <w:t>Roundtable on Sustainable Palm Oil</w:t>
            </w:r>
          </w:p>
        </w:tc>
      </w:tr>
      <w:tr>
        <w:tc>
          <w:tcPr>
            <w:tcW w:type="dxa" w:w="1984"/>
          </w:tcPr>
          <w:p>
            <w:r/>
            <w:r>
              <w:rPr>
                <w:rFonts w:ascii="Aptos" w:hAnsi="Aptos"/>
                <w:sz w:val="18"/>
              </w:rPr>
              <w:t>RSU</w:t>
            </w:r>
          </w:p>
        </w:tc>
        <w:tc>
          <w:tcPr>
            <w:tcW w:type="dxa" w:w="7654"/>
          </w:tcPr>
          <w:p>
            <w:r/>
            <w:r>
              <w:rPr>
                <w:rFonts w:ascii="Aptos" w:hAnsi="Aptos"/>
                <w:sz w:val="18"/>
              </w:rPr>
              <w:t>Restricted Share Unit</w:t>
            </w:r>
          </w:p>
        </w:tc>
      </w:tr>
      <w:tr>
        <w:tc>
          <w:tcPr>
            <w:tcW w:type="dxa" w:w="1984"/>
          </w:tcPr>
          <w:p>
            <w:r/>
            <w:r>
              <w:rPr>
                <w:rFonts w:ascii="Aptos" w:hAnsi="Aptos"/>
                <w:sz w:val="18"/>
              </w:rPr>
              <w:t>SBTi</w:t>
            </w:r>
          </w:p>
        </w:tc>
        <w:tc>
          <w:tcPr>
            <w:tcW w:type="dxa" w:w="7654"/>
          </w:tcPr>
          <w:p>
            <w:r/>
            <w:r>
              <w:rPr>
                <w:rFonts w:ascii="Aptos" w:hAnsi="Aptos"/>
                <w:sz w:val="18"/>
              </w:rPr>
              <w:t>Science Based Targets initiative</w:t>
            </w:r>
          </w:p>
        </w:tc>
      </w:tr>
      <w:tr>
        <w:tc>
          <w:tcPr>
            <w:tcW w:type="dxa" w:w="1984"/>
          </w:tcPr>
          <w:p>
            <w:r/>
            <w:r>
              <w:rPr>
                <w:rFonts w:ascii="Aptos" w:hAnsi="Aptos"/>
                <w:sz w:val="18"/>
              </w:rPr>
              <w:t>SCC</w:t>
            </w:r>
          </w:p>
        </w:tc>
        <w:tc>
          <w:tcPr>
            <w:tcW w:type="dxa" w:w="7654"/>
          </w:tcPr>
          <w:p>
            <w:r/>
            <w:r>
              <w:rPr>
                <w:rFonts w:ascii="Aptos" w:hAnsi="Aptos"/>
                <w:sz w:val="18"/>
              </w:rPr>
              <w:t>Standard Contractual Clauses</w:t>
            </w:r>
          </w:p>
        </w:tc>
      </w:tr>
      <w:tr>
        <w:tc>
          <w:tcPr>
            <w:tcW w:type="dxa" w:w="1984"/>
          </w:tcPr>
          <w:p>
            <w:r/>
            <w:r>
              <w:rPr>
                <w:rFonts w:ascii="Aptos" w:hAnsi="Aptos"/>
                <w:sz w:val="18"/>
              </w:rPr>
              <w:t>SROI</w:t>
            </w:r>
          </w:p>
        </w:tc>
        <w:tc>
          <w:tcPr>
            <w:tcW w:type="dxa" w:w="7654"/>
          </w:tcPr>
          <w:p>
            <w:r/>
            <w:r>
              <w:rPr>
                <w:rFonts w:ascii="Aptos" w:hAnsi="Aptos"/>
                <w:sz w:val="18"/>
              </w:rPr>
              <w:t>Social Return on Investment</w:t>
            </w:r>
          </w:p>
        </w:tc>
      </w:tr>
      <w:tr>
        <w:tc>
          <w:tcPr>
            <w:tcW w:type="dxa" w:w="1984"/>
          </w:tcPr>
          <w:p>
            <w:r/>
            <w:r>
              <w:rPr>
                <w:rFonts w:ascii="Aptos" w:hAnsi="Aptos"/>
                <w:sz w:val="18"/>
              </w:rPr>
              <w:t>TIA</w:t>
            </w:r>
          </w:p>
        </w:tc>
        <w:tc>
          <w:tcPr>
            <w:tcW w:type="dxa" w:w="7654"/>
          </w:tcPr>
          <w:p>
            <w:r/>
            <w:r>
              <w:rPr>
                <w:rFonts w:ascii="Aptos" w:hAnsi="Aptos"/>
                <w:sz w:val="18"/>
              </w:rPr>
              <w:t>Transfer Impact Assessment</w:t>
            </w:r>
          </w:p>
        </w:tc>
      </w:tr>
      <w:tr>
        <w:tc>
          <w:tcPr>
            <w:tcW w:type="dxa" w:w="1984"/>
          </w:tcPr>
          <w:p>
            <w:r/>
            <w:r>
              <w:rPr>
                <w:rFonts w:ascii="Aptos" w:hAnsi="Aptos"/>
                <w:sz w:val="18"/>
              </w:rPr>
              <w:t>UU PDP</w:t>
            </w:r>
          </w:p>
        </w:tc>
        <w:tc>
          <w:tcPr>
            <w:tcW w:type="dxa" w:w="7654"/>
          </w:tcPr>
          <w:p>
            <w:r/>
            <w:r>
              <w:rPr>
                <w:rFonts w:ascii="Aptos" w:hAnsi="Aptos"/>
                <w:sz w:val="18"/>
              </w:rPr>
              <w:t>Undang-Undang Pelindungan Data Pribadi (Indonesia DP Law 27/2022)</w:t>
            </w:r>
          </w:p>
        </w:tc>
      </w:tr>
    </w:tbl>
    <w:p>
      <w:pPr>
        <w:keepNext/>
        <w:spacing w:before="360" w:after="120"/>
      </w:pPr>
      <w:r>
        <w:rPr>
          <w:rFonts w:ascii="Aptos" w:hAnsi="Aptos"/>
          <w:b/>
          <w:color w:val="1F4E79"/>
          <w:sz w:val="40"/>
        </w:rPr>
        <w:t>Appendix C — Policy Owner &amp; Review Cycle</w:t>
      </w:r>
    </w:p>
    <w:tbl>
      <w:tblPr>
        <w:tblStyle w:val="LightGrid-Accent1"/>
        <w:tblW w:type="auto" w:w="0"/>
        <w:tblLook w:firstColumn="1" w:firstRow="1" w:lastColumn="0" w:lastRow="0" w:noHBand="0" w:noVBand="1" w:val="04A0"/>
      </w:tblPr>
      <w:tblGrid>
        <w:gridCol w:w="2436"/>
        <w:gridCol w:w="2436"/>
        <w:gridCol w:w="2436"/>
        <w:gridCol w:w="2436"/>
      </w:tblGrid>
      <w:tr>
        <w:tc>
          <w:tcPr>
            <w:tcW w:type="dxa" w:w="3118"/>
            <w:shd w:val="clear" w:color="auto" w:fill="1F4E79"/>
          </w:tcPr>
          <w:p>
            <w:r/>
            <w:r>
              <w:rPr>
                <w:rFonts w:ascii="Aptos" w:hAnsi="Aptos"/>
                <w:b/>
                <w:color w:val="FFFFFF"/>
                <w:sz w:val="20"/>
              </w:rPr>
              <w:t>Section</w:t>
            </w:r>
          </w:p>
        </w:tc>
        <w:tc>
          <w:tcPr>
            <w:tcW w:type="dxa" w:w="2268"/>
            <w:shd w:val="clear" w:color="auto" w:fill="1F4E79"/>
          </w:tcPr>
          <w:p>
            <w:r/>
            <w:r>
              <w:rPr>
                <w:rFonts w:ascii="Aptos" w:hAnsi="Aptos"/>
                <w:b/>
                <w:color w:val="FFFFFF"/>
                <w:sz w:val="20"/>
              </w:rPr>
              <w:t>Policy Owner</w:t>
            </w:r>
          </w:p>
        </w:tc>
        <w:tc>
          <w:tcPr>
            <w:tcW w:type="dxa" w:w="1984"/>
            <w:shd w:val="clear" w:color="auto" w:fill="1F4E79"/>
          </w:tcPr>
          <w:p>
            <w:r/>
            <w:r>
              <w:rPr>
                <w:rFonts w:ascii="Aptos" w:hAnsi="Aptos"/>
                <w:b/>
                <w:color w:val="FFFFFF"/>
                <w:sz w:val="20"/>
              </w:rPr>
              <w:t>Review Frequency</w:t>
            </w:r>
          </w:p>
        </w:tc>
        <w:tc>
          <w:tcPr>
            <w:tcW w:type="dxa" w:w="2268"/>
            <w:shd w:val="clear" w:color="auto" w:fill="1F4E79"/>
          </w:tcPr>
          <w:p>
            <w:r/>
            <w:r>
              <w:rPr>
                <w:rFonts w:ascii="Aptos" w:hAnsi="Aptos"/>
                <w:b/>
                <w:color w:val="FFFFFF"/>
                <w:sz w:val="20"/>
              </w:rPr>
              <w:t>Approving Authority</w:t>
            </w:r>
          </w:p>
        </w:tc>
      </w:tr>
      <w:tr>
        <w:tc>
          <w:tcPr>
            <w:tcW w:type="dxa" w:w="3118"/>
          </w:tcPr>
          <w:p>
            <w:r/>
            <w:r>
              <w:rPr>
                <w:rFonts w:ascii="Aptos" w:hAnsi="Aptos"/>
                <w:sz w:val="18"/>
              </w:rPr>
              <w:t>1. Corporate Governance</w:t>
            </w:r>
          </w:p>
        </w:tc>
        <w:tc>
          <w:tcPr>
            <w:tcW w:type="dxa" w:w="2268"/>
          </w:tcPr>
          <w:p>
            <w:r/>
            <w:r>
              <w:rPr>
                <w:rFonts w:ascii="Aptos" w:hAnsi="Aptos"/>
                <w:sz w:val="18"/>
              </w:rPr>
              <w:t>Company Secretary</w:t>
            </w:r>
          </w:p>
        </w:tc>
        <w:tc>
          <w:tcPr>
            <w:tcW w:type="dxa" w:w="1984"/>
          </w:tcPr>
          <w:p>
            <w:r/>
            <w:r>
              <w:rPr>
                <w:rFonts w:ascii="Aptos" w:hAnsi="Aptos"/>
                <w:sz w:val="18"/>
              </w:rPr>
              <w:t>Annually</w:t>
            </w:r>
          </w:p>
        </w:tc>
        <w:tc>
          <w:tcPr>
            <w:tcW w:type="dxa" w:w="2268"/>
          </w:tcPr>
          <w:p>
            <w:r/>
            <w:r>
              <w:rPr>
                <w:rFonts w:ascii="Aptos" w:hAnsi="Aptos"/>
                <w:sz w:val="18"/>
              </w:rPr>
              <w:t>NRC + Board</w:t>
            </w:r>
          </w:p>
        </w:tc>
      </w:tr>
      <w:tr>
        <w:tc>
          <w:tcPr>
            <w:tcW w:type="dxa" w:w="3118"/>
          </w:tcPr>
          <w:p>
            <w:r/>
            <w:r>
              <w:rPr>
                <w:rFonts w:ascii="Aptos" w:hAnsi="Aptos"/>
                <w:sz w:val="18"/>
              </w:rPr>
              <w:t>2. Code of Ethics</w:t>
            </w:r>
          </w:p>
        </w:tc>
        <w:tc>
          <w:tcPr>
            <w:tcW w:type="dxa" w:w="2268"/>
          </w:tcPr>
          <w:p>
            <w:r/>
            <w:r>
              <w:rPr>
                <w:rFonts w:ascii="Aptos" w:hAnsi="Aptos"/>
                <w:sz w:val="18"/>
              </w:rPr>
              <w:t>Group Compliance</w:t>
            </w:r>
          </w:p>
        </w:tc>
        <w:tc>
          <w:tcPr>
            <w:tcW w:type="dxa" w:w="1984"/>
          </w:tcPr>
          <w:p>
            <w:r/>
            <w:r>
              <w:rPr>
                <w:rFonts w:ascii="Aptos" w:hAnsi="Aptos"/>
                <w:sz w:val="18"/>
              </w:rPr>
              <w:t>Bi-annually</w:t>
            </w:r>
          </w:p>
        </w:tc>
        <w:tc>
          <w:tcPr>
            <w:tcW w:type="dxa" w:w="2268"/>
          </w:tcPr>
          <w:p>
            <w:r/>
            <w:r>
              <w:rPr>
                <w:rFonts w:ascii="Aptos" w:hAnsi="Aptos"/>
                <w:sz w:val="18"/>
              </w:rPr>
              <w:t>ARC + Board</w:t>
            </w:r>
          </w:p>
        </w:tc>
      </w:tr>
      <w:tr>
        <w:tc>
          <w:tcPr>
            <w:tcW w:type="dxa" w:w="3118"/>
          </w:tcPr>
          <w:p>
            <w:r/>
            <w:r>
              <w:rPr>
                <w:rFonts w:ascii="Aptos" w:hAnsi="Aptos"/>
                <w:sz w:val="18"/>
              </w:rPr>
              <w:t>3. HR Policy</w:t>
            </w:r>
          </w:p>
        </w:tc>
        <w:tc>
          <w:tcPr>
            <w:tcW w:type="dxa" w:w="2268"/>
          </w:tcPr>
          <w:p>
            <w:r/>
            <w:r>
              <w:rPr>
                <w:rFonts w:ascii="Aptos" w:hAnsi="Aptos"/>
                <w:sz w:val="18"/>
              </w:rPr>
              <w:t>Group CHRO</w:t>
            </w:r>
          </w:p>
        </w:tc>
        <w:tc>
          <w:tcPr>
            <w:tcW w:type="dxa" w:w="1984"/>
          </w:tcPr>
          <w:p>
            <w:r/>
            <w:r>
              <w:rPr>
                <w:rFonts w:ascii="Aptos" w:hAnsi="Aptos"/>
                <w:sz w:val="18"/>
              </w:rPr>
              <w:t>Annually</w:t>
            </w:r>
          </w:p>
        </w:tc>
        <w:tc>
          <w:tcPr>
            <w:tcW w:type="dxa" w:w="2268"/>
          </w:tcPr>
          <w:p>
            <w:r/>
            <w:r>
              <w:rPr>
                <w:rFonts w:ascii="Aptos" w:hAnsi="Aptos"/>
                <w:sz w:val="18"/>
              </w:rPr>
              <w:t>NRC + Board</w:t>
            </w:r>
          </w:p>
        </w:tc>
      </w:tr>
      <w:tr>
        <w:tc>
          <w:tcPr>
            <w:tcW w:type="dxa" w:w="3118"/>
          </w:tcPr>
          <w:p>
            <w:r/>
            <w:r>
              <w:rPr>
                <w:rFonts w:ascii="Aptos" w:hAnsi="Aptos"/>
                <w:sz w:val="18"/>
              </w:rPr>
              <w:t>4. Financial Governance</w:t>
            </w:r>
          </w:p>
        </w:tc>
        <w:tc>
          <w:tcPr>
            <w:tcW w:type="dxa" w:w="2268"/>
          </w:tcPr>
          <w:p>
            <w:r/>
            <w:r>
              <w:rPr>
                <w:rFonts w:ascii="Aptos" w:hAnsi="Aptos"/>
                <w:sz w:val="18"/>
              </w:rPr>
              <w:t>Group CFO</w:t>
            </w:r>
          </w:p>
        </w:tc>
        <w:tc>
          <w:tcPr>
            <w:tcW w:type="dxa" w:w="1984"/>
          </w:tcPr>
          <w:p>
            <w:r/>
            <w:r>
              <w:rPr>
                <w:rFonts w:ascii="Aptos" w:hAnsi="Aptos"/>
                <w:sz w:val="18"/>
              </w:rPr>
              <w:t>Annually</w:t>
            </w:r>
          </w:p>
        </w:tc>
        <w:tc>
          <w:tcPr>
            <w:tcW w:type="dxa" w:w="2268"/>
          </w:tcPr>
          <w:p>
            <w:r/>
            <w:r>
              <w:rPr>
                <w:rFonts w:ascii="Aptos" w:hAnsi="Aptos"/>
                <w:sz w:val="18"/>
              </w:rPr>
              <w:t>ARC + Board</w:t>
            </w:r>
          </w:p>
        </w:tc>
      </w:tr>
      <w:tr>
        <w:tc>
          <w:tcPr>
            <w:tcW w:type="dxa" w:w="3118"/>
          </w:tcPr>
          <w:p>
            <w:r/>
            <w:r>
              <w:rPr>
                <w:rFonts w:ascii="Aptos" w:hAnsi="Aptos"/>
                <w:sz w:val="18"/>
              </w:rPr>
              <w:t>5. Procurement</w:t>
            </w:r>
          </w:p>
        </w:tc>
        <w:tc>
          <w:tcPr>
            <w:tcW w:type="dxa" w:w="2268"/>
          </w:tcPr>
          <w:p>
            <w:r/>
            <w:r>
              <w:rPr>
                <w:rFonts w:ascii="Aptos" w:hAnsi="Aptos"/>
                <w:sz w:val="18"/>
              </w:rPr>
              <w:t>Group CPO</w:t>
            </w:r>
          </w:p>
        </w:tc>
        <w:tc>
          <w:tcPr>
            <w:tcW w:type="dxa" w:w="1984"/>
          </w:tcPr>
          <w:p>
            <w:r/>
            <w:r>
              <w:rPr>
                <w:rFonts w:ascii="Aptos" w:hAnsi="Aptos"/>
                <w:sz w:val="18"/>
              </w:rPr>
              <w:t>Annually</w:t>
            </w:r>
          </w:p>
        </w:tc>
        <w:tc>
          <w:tcPr>
            <w:tcW w:type="dxa" w:w="2268"/>
          </w:tcPr>
          <w:p>
            <w:r/>
            <w:r>
              <w:rPr>
                <w:rFonts w:ascii="Aptos" w:hAnsi="Aptos"/>
                <w:sz w:val="18"/>
              </w:rPr>
              <w:t>Group ExCo</w:t>
            </w:r>
          </w:p>
        </w:tc>
      </w:tr>
      <w:tr>
        <w:tc>
          <w:tcPr>
            <w:tcW w:type="dxa" w:w="3118"/>
          </w:tcPr>
          <w:p>
            <w:r/>
            <w:r>
              <w:rPr>
                <w:rFonts w:ascii="Aptos" w:hAnsi="Aptos"/>
                <w:sz w:val="18"/>
              </w:rPr>
              <w:t>6. Data Privacy</w:t>
            </w:r>
          </w:p>
        </w:tc>
        <w:tc>
          <w:tcPr>
            <w:tcW w:type="dxa" w:w="2268"/>
          </w:tcPr>
          <w:p>
            <w:r/>
            <w:r>
              <w:rPr>
                <w:rFonts w:ascii="Aptos" w:hAnsi="Aptos"/>
                <w:sz w:val="18"/>
              </w:rPr>
              <w:t>Group DPO</w:t>
            </w:r>
          </w:p>
        </w:tc>
        <w:tc>
          <w:tcPr>
            <w:tcW w:type="dxa" w:w="1984"/>
          </w:tcPr>
          <w:p>
            <w:r/>
            <w:r>
              <w:rPr>
                <w:rFonts w:ascii="Aptos" w:hAnsi="Aptos"/>
                <w:sz w:val="18"/>
              </w:rPr>
              <w:t>Annually</w:t>
            </w:r>
          </w:p>
        </w:tc>
        <w:tc>
          <w:tcPr>
            <w:tcW w:type="dxa" w:w="2268"/>
          </w:tcPr>
          <w:p>
            <w:r/>
            <w:r>
              <w:rPr>
                <w:rFonts w:ascii="Aptos" w:hAnsi="Aptos"/>
                <w:sz w:val="18"/>
              </w:rPr>
              <w:t>ARC + Board</w:t>
            </w:r>
          </w:p>
        </w:tc>
      </w:tr>
      <w:tr>
        <w:tc>
          <w:tcPr>
            <w:tcW w:type="dxa" w:w="3118"/>
          </w:tcPr>
          <w:p>
            <w:r/>
            <w:r>
              <w:rPr>
                <w:rFonts w:ascii="Aptos" w:hAnsi="Aptos"/>
                <w:sz w:val="18"/>
              </w:rPr>
              <w:t>7. ESG</w:t>
            </w:r>
          </w:p>
        </w:tc>
        <w:tc>
          <w:tcPr>
            <w:tcW w:type="dxa" w:w="2268"/>
          </w:tcPr>
          <w:p>
            <w:r/>
            <w:r>
              <w:rPr>
                <w:rFonts w:ascii="Aptos" w:hAnsi="Aptos"/>
                <w:sz w:val="18"/>
              </w:rPr>
              <w:t>Group CSO</w:t>
            </w:r>
          </w:p>
        </w:tc>
        <w:tc>
          <w:tcPr>
            <w:tcW w:type="dxa" w:w="1984"/>
          </w:tcPr>
          <w:p>
            <w:r/>
            <w:r>
              <w:rPr>
                <w:rFonts w:ascii="Aptos" w:hAnsi="Aptos"/>
                <w:sz w:val="18"/>
              </w:rPr>
              <w:t>Annually</w:t>
            </w:r>
          </w:p>
        </w:tc>
        <w:tc>
          <w:tcPr>
            <w:tcW w:type="dxa" w:w="2268"/>
          </w:tcPr>
          <w:p>
            <w:r/>
            <w:r>
              <w:rPr>
                <w:rFonts w:ascii="Aptos" w:hAnsi="Aptos"/>
                <w:sz w:val="18"/>
              </w:rPr>
              <w:t>Sustainability Cmte + Board</w:t>
            </w:r>
          </w:p>
        </w:tc>
      </w:tr>
      <w:tr>
        <w:tc>
          <w:tcPr>
            <w:tcW w:type="dxa" w:w="3118"/>
          </w:tcPr>
          <w:p>
            <w:r/>
            <w:r>
              <w:rPr>
                <w:rFonts w:ascii="Aptos" w:hAnsi="Aptos"/>
                <w:sz w:val="18"/>
              </w:rPr>
              <w:t>8. HSE</w:t>
            </w:r>
          </w:p>
        </w:tc>
        <w:tc>
          <w:tcPr>
            <w:tcW w:type="dxa" w:w="2268"/>
          </w:tcPr>
          <w:p>
            <w:r/>
            <w:r>
              <w:rPr>
                <w:rFonts w:ascii="Aptos" w:hAnsi="Aptos"/>
                <w:sz w:val="18"/>
              </w:rPr>
              <w:t>Group HSE Director</w:t>
            </w:r>
          </w:p>
        </w:tc>
        <w:tc>
          <w:tcPr>
            <w:tcW w:type="dxa" w:w="1984"/>
          </w:tcPr>
          <w:p>
            <w:r/>
            <w:r>
              <w:rPr>
                <w:rFonts w:ascii="Aptos" w:hAnsi="Aptos"/>
                <w:sz w:val="18"/>
              </w:rPr>
              <w:t>Annually</w:t>
            </w:r>
          </w:p>
        </w:tc>
        <w:tc>
          <w:tcPr>
            <w:tcW w:type="dxa" w:w="2268"/>
          </w:tcPr>
          <w:p>
            <w:r/>
            <w:r>
              <w:rPr>
                <w:rFonts w:ascii="Aptos" w:hAnsi="Aptos"/>
                <w:sz w:val="18"/>
              </w:rPr>
              <w:t>Sustainability Cmte + Board</w:t>
            </w:r>
          </w:p>
        </w:tc>
      </w:tr>
      <w:tr>
        <w:tc>
          <w:tcPr>
            <w:tcW w:type="dxa" w:w="3118"/>
          </w:tcPr>
          <w:p>
            <w:r/>
            <w:r>
              <w:rPr>
                <w:rFonts w:ascii="Aptos" w:hAnsi="Aptos"/>
                <w:sz w:val="18"/>
              </w:rPr>
              <w:t>9. Legal &amp; Compliance</w:t>
            </w:r>
          </w:p>
        </w:tc>
        <w:tc>
          <w:tcPr>
            <w:tcW w:type="dxa" w:w="2268"/>
          </w:tcPr>
          <w:p>
            <w:r/>
            <w:r>
              <w:rPr>
                <w:rFonts w:ascii="Aptos" w:hAnsi="Aptos"/>
                <w:sz w:val="18"/>
              </w:rPr>
              <w:t>Group GC</w:t>
            </w:r>
          </w:p>
        </w:tc>
        <w:tc>
          <w:tcPr>
            <w:tcW w:type="dxa" w:w="1984"/>
          </w:tcPr>
          <w:p>
            <w:r/>
            <w:r>
              <w:rPr>
                <w:rFonts w:ascii="Aptos" w:hAnsi="Aptos"/>
                <w:sz w:val="18"/>
              </w:rPr>
              <w:t>Annually</w:t>
            </w:r>
          </w:p>
        </w:tc>
        <w:tc>
          <w:tcPr>
            <w:tcW w:type="dxa" w:w="2268"/>
          </w:tcPr>
          <w:p>
            <w:r/>
            <w:r>
              <w:rPr>
                <w:rFonts w:ascii="Aptos" w:hAnsi="Aptos"/>
                <w:sz w:val="18"/>
              </w:rPr>
              <w:t>ARC + Board</w:t>
            </w:r>
          </w:p>
        </w:tc>
      </w:tr>
      <w:tr>
        <w:tc>
          <w:tcPr>
            <w:tcW w:type="dxa" w:w="3118"/>
          </w:tcPr>
          <w:p>
            <w:r/>
            <w:r>
              <w:rPr>
                <w:rFonts w:ascii="Aptos" w:hAnsi="Aptos"/>
                <w:sz w:val="18"/>
              </w:rPr>
              <w:t>10. ERM</w:t>
            </w:r>
          </w:p>
        </w:tc>
        <w:tc>
          <w:tcPr>
            <w:tcW w:type="dxa" w:w="2268"/>
          </w:tcPr>
          <w:p>
            <w:r/>
            <w:r>
              <w:rPr>
                <w:rFonts w:ascii="Aptos" w:hAnsi="Aptos"/>
                <w:sz w:val="18"/>
              </w:rPr>
              <w:t>Group CRO</w:t>
            </w:r>
          </w:p>
        </w:tc>
        <w:tc>
          <w:tcPr>
            <w:tcW w:type="dxa" w:w="1984"/>
          </w:tcPr>
          <w:p>
            <w:r/>
            <w:r>
              <w:rPr>
                <w:rFonts w:ascii="Aptos" w:hAnsi="Aptos"/>
                <w:sz w:val="18"/>
              </w:rPr>
              <w:t>Annually</w:t>
            </w:r>
          </w:p>
        </w:tc>
        <w:tc>
          <w:tcPr>
            <w:tcW w:type="dxa" w:w="2268"/>
          </w:tcPr>
          <w:p>
            <w:r/>
            <w:r>
              <w:rPr>
                <w:rFonts w:ascii="Aptos" w:hAnsi="Aptos"/>
                <w:sz w:val="18"/>
              </w:rPr>
              <w:t>ARC + Board</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