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0"/>
        <w:jc w:val="center"/>
      </w:pPr>
      <w:r>
        <w:rPr>
          <w:rFonts w:ascii="Aptos" w:hAnsi="Aptos"/>
          <w:b/>
          <w:color w:val="1F4E79"/>
          <w:sz w:val="96"/>
        </w:rPr>
        <w:t>ZAVA FORWARD</w:t>
        <w:br/>
        <w:t>2030</w:t>
        <w:br/>
      </w:r>
      <w:r>
        <w:rPr>
          <w:rFonts w:ascii="Aptos" w:hAnsi="Aptos"/>
          <w:b/>
          <w:color w:val="1F4E79"/>
          <w:sz w:val="40"/>
        </w:rPr>
        <w:br/>
        <w:t>Group Strategy Framework</w:t>
      </w:r>
    </w:p>
    <w:p>
      <w:pPr>
        <w:jc w:val="center"/>
      </w:pPr>
      <w:r>
        <w:rPr>
          <w:rFonts w:ascii="Aptos" w:hAnsi="Aptos"/>
          <w:i/>
          <w:color w:val="595959"/>
          <w:sz w:val="22"/>
        </w:rPr>
        <w:br/>
        <w:br/>
        <w:t>Version 4.0 | Board-approved 12 December FY2024</w:t>
        <w:br/>
      </w:r>
      <w:r>
        <w:rPr>
          <w:rFonts w:ascii="Aptos" w:hAnsi="Aptos"/>
          <w:i/>
          <w:color w:val="595959"/>
          <w:sz w:val="20"/>
        </w:rPr>
        <w:t>Confidential — Group ExCo, Division CEOs, Board Members only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Foreword from the Group Chief Executive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FY2025 closes a difficult year for Zava Group. Group revenue of MYR 42.4 billion against a budget of MYR 44.2 billion represents a 4.1% top-line shortfall, but the EBITDA picture is the harder story: MYR 6.1 billion against MYR 7.4 billion budget, an 18% miss that reduces our net debt headroom and pressures three divisions — Properties, Healthcare and Retail — into negative-EBITDA territory for the first time in the Group's 38-year history.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I do not see this as a story of strategic failure. The shortfall has six identifiable drivers — Property completion delays, Healthcare patient-volume softness, Retail footfall decline, China chemicals demand weakness, IDR/USD adverse FX, and the Hindustan Bulk counterparty event in Trading. Each has been studied; each has a remediation programme; and the underlying portfolio strength remains intact. Financial Services beat budget by 7%, BPO beat by 4%, and the four other divisions are operating within plan tolerance.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But it does sharpen the case for Zava Forward 2030 — the strategic framework set out in this document. The next five years require us to: (i) recover the cyclical divisions decisively; (ii) compound advantage in our growth engines; (iii) decarbonise and digitalise across the enterprise; (iv) sharpen our portfolio with disciplined M&amp;A and selective exits; and (v) build the talent and capability to execute. The framework is built around five strategic pillars and is grounded in clear capital-allocation discipline: MYR 12.4 billion of capex through FY2027, a fix-first lens on the three Red divisions, and an unwavering commitment to capital-structure protection (Net Debt / EBITDA &lt; 3.0× through cycle).</w:t>
      </w:r>
    </w:p>
    <w:p>
      <w:pPr>
        <w:spacing w:after="120" w:line="276" w:lineRule="auto"/>
      </w:pPr>
      <w:r>
        <w:rPr>
          <w:rFonts w:ascii="Aptos" w:hAnsi="Aptos"/>
          <w:b w:val="0"/>
          <w:i/>
          <w:sz w:val="20"/>
        </w:rPr>
        <w:t>I commend this framework to the Board, the ExCo, and to every division leader. Execution is now the priority.</w:t>
      </w:r>
    </w:p>
    <w:p>
      <w:pPr>
        <w:spacing w:after="120" w:line="276" w:lineRule="auto"/>
      </w:pPr>
      <w:r>
        <w:rPr>
          <w:rFonts w:ascii="Aptos" w:hAnsi="Aptos"/>
          <w:b w:val="0"/>
          <w:i/>
          <w:sz w:val="20"/>
        </w:rPr>
        <w:t>— Group CEO, December FY2024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1. Strategic Context — Where We Stand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1.1 FY2025 Performance Reality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FY2025 outcome reshapes the starting position for our 2030 strategy: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FY2024A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 Bud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 Act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Variance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Revenue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43,385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44,200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42,380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−1,820 (−4.1%)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Below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EBITDA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7,890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7,420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6,103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−1,317 (−17.8%)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EBITDA Margin 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17.6%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16.8%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14.4%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−240 bps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Net Debt /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2.4×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2.5×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3.1×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+0.6×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AMBER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Free Cash Flow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3,420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3,250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2,180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−1,070 (−33%)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Divisions in negative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+3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RED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1.2 The Three Red Divisions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Three divisions reported negative EBITDA in FY2025 — a first for the Group. Each has a distinct root cause: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Properties (act margin −0.5% on rev MYR 1,800M): Mid-Valley project completion delay, Penang Tower writedown of MYR 320M, slowing pre-sales velocity in Klang Valley, and unsold inventory carrying cost. Cyclical, not structural.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Healthcare (act margin −0.5% on rev MYR 1,200M): Patient volume below pre-pandemic baseline by 11%, specialist consultant cost growth outpacing revenue, Subang facility utilisation at 58%. Mix of cyclical and emerging structural issues.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Retail (act margin −0.5% on rev MYR 2,200M): Online cannibalisation of physical stores, footfall down 14% at flagship locations, lease cost inflation, and a one-time inventory writedown of MYR 110M. Structural pressure on the format mix.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1.3 The Six Outperformers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Eight of eleven divisions are at-or-better than plan. Two are notable beats: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Financial Services beat budget by 7% on EBITDA, driven by margin lending growth and improved investment income.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BPO beat budget by 4%, with three new US captive deals closed in H2 and pricing escalators kicking in.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Six others — Chemicals, Manufacturing, Treasury Holdings, Pharmaceuticals, Agribusiness and Trading — are within ±5% of plan, with discrete recovery items identified for FY2026.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1.4 Macro &amp; Industry Backdrop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next five years sit at the intersection of structural shifts the Group must navigate: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China growth slowdown and demand re-routing: olefins demand softness affecting our chemicals book; partial offset from RCEP intra-ASEAN trade flows.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Energy transition acceleration: ASEAN-wide carbon pricing on the horizon (CBAM extension to ASEAN exporters by 2027, MY domestic carbon pricing by 2026, ID early signals).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Persistent IDR/USD pressure: IDR has weakened ~9% YoY against USD; FX translation drag is structural, not cyclical, for the next 12-24 months.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Generative AI productivity wave: BPO division must convert AI productivity into pricing leverage rather than allowing client share-of-savings claims.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ASEAN healthcare demand recovery is uneven — cosmetic and elective procedures returning faster than chronic disease management.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Property: Klang Valley overhang likely persists 18-24 months; Penang and Iskandar showing signs of recovery.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2. Five Pillars of Zava Forward 2030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Forward 2030 organises the Group strategy around five reinforcing pillars. Each pillar has measurable outcomes, capital implications and division-level cascades.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2.1 Pillar 1 — Recover &amp; Reinvent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Restore the three Red divisions to positive EBITDA by FY2027.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three negative-EBITDA divisions (Properties, Healthcare, Retail) are not candidates for managed decline. Properties and Healthcare have core competitive positions worth defending; Retail requires format reinvention. Each division has a 90-day stabilisation plan, a 12-month recovery plan, and a 3-year transformation plan, with monthly tracking at Group ExCo level and quarterly tracking at Board level.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MYR +320M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Properties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-9M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+180M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+320M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FY26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Healthcare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-6M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+90M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+180M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FY26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Retail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-11M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+60M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+140M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FY26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Combined EBITDA contribution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-26M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+330M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+640M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Asset-rationalisation programme: dispose of MYR 800M of non-core property and retail real-estate by FY2027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Healthcare format refresh: convert two underutilised inpatient floors at Subang into outpatient day-surgery and chronic-care formats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Retail digital-first reset: close 18 underperforming stores; redeploy 35% of saved cost into omni-channel and category-killer formats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Capital reallocation: hold growth capex at minimum-required levels in these three divisions until ROIC &gt; 8%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2.2 Pillar 2 — Compound the Engines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Double down on Financial Services, BPO and Pharmaceuticals.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Three divisions have demonstrated structural advantage — Financial Services (strong asset-quality and rising fee streams), BPO (AI-leveraged offshore delivery with US/EU customer base), and Pharmaceuticals (generics tender wins across Indonesia and the Philippines, plus emerging branded portfolio). These engines justify accelerated capital deployment.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MYR 1,400M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FS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920M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1,150M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1,400M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BPO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1,500M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Pharma EBITDA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700M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Combined EBITDA contribution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2,500M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3,210M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4,000M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Financial Services: launch wealth-management arm targeting MYR 25B AUM by FY2028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BPO: bolt-on acquisitions of two US-based mid-tier BPOs by FY2027 (target combined revenue MYR 800M, EV MYR 1.5-2B)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Pharmaceuticals: file 12 new ANDA dossiers per year through FY2027; build branded portfolio in cardiometabolic and women's-health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Capital tilt: 35% of FY2025-2027 growth capex earmarked for these three divisions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2.3 Pillar 3 — Decarbonise &amp; Digitise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Cut Scope 1+2 by 45% and embed AI in every core workflow.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Zava's 2030 climate commitment (Scope 1+2 −45% vs FY2019 baseline) is science-based-target validated and capital-backed. In parallel, the Group is investing in enterprise digital and AI platform foundations to convert the productivity wave into competitive advantage.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−45%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Scope 1+2 reduction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−18%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−32%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−45%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Renewable electricity 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70%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Digital revenue 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AI use-cases in production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14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150+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Annual digital productivity savings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280M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500M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Group-wide energy-transition capex of MYR 2.4 billion through FY2027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Solar and storage at all manufacturing and refinery sites by FY2027 (15-year PPAs preferred)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M365 Copilot Pro+ deployment to 12,000 knowledge workers by mid-FY2026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Sector-specific AI platforms: BPO Cognitive Workbench, Pharma Regulatory Co-pilot, FS Risk Brain, Healthcare Diagnostic Assistant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Climate-linked compensation: 15% of senior-executive PSU vest tied to Scope 1+2 trajectory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2.4 Pillar 4 — Sharpen the Portfolio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Disciplined M&amp;A, selective exits, sharper governance.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portfolio of 11 divisions is right-sized but under-curated. Pillar 4 commits to disciplined portfolio management: clear identification of core, growth, and divestment candidates; M&amp;A discipline anchored in 5-year IRR ≥ 12% and accretion within 24 months; selective exits where ROIC trails cost of capital persistently.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4.5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M&amp;A deployed (MYR B)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0.0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2.5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4.5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Divestments completed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1,200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2,500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Group ROIC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8.4%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10.5%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12.5%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No. of bolt-ons closed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12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M&amp;A pipeline reviewed quarterly by Investment Committee; minimum hurdle rate 12% IRR over 5 years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Divestment candidates: non-core trading subsidiaries, underperforming retail real-estate, and the Surabaya manufacturing JV (50% stake, MYR 280M)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Portfolio-review cadence: deep-dive on every division every 24 months at Board level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Capital-recycling target: net divestments to fund 30%+ of M&amp;A spend</w:t>
      </w:r>
    </w:p>
    <w:p>
      <w:r>
        <w:br w:type="page"/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2.5 Pillar 5 — Talent &amp; Trust</w:t>
      </w:r>
    </w:p>
    <w:p>
      <w:pPr>
        <w:spacing w:after="120" w:line="276" w:lineRule="auto"/>
      </w:pPr>
      <w:r>
        <w:rPr>
          <w:rFonts w:ascii="Aptos" w:hAnsi="Aptos"/>
          <w:b w:val="0"/>
          <w:i/>
          <w:color w:val="595959"/>
          <w:sz w:val="22"/>
        </w:rPr>
        <w:t>Build the people, the culture and the licence to operate for 2030.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cannot deliver pillars 1-4 without parallel investment in talent, leadership and stakeholder trust. Pillar 5 is the enabling pillar: compensation modernisation, leadership pipeline depth, ESG-grounded community investment, and governance maturity.</w:t>
      </w:r>
    </w:p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Outcome metrics: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&lt; 8%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Long-term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Mid by</w:t>
            </w:r>
          </w:p>
        </w:tc>
        <w:tc>
          <w:tcPr>
            <w:tcW w:type="dxa" w:w="85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Long by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Voluntary attrition rate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12.4%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&lt; 10%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&lt; 8%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Engagement score (Pulse)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74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78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82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Internal-fill rate (senior roles)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52%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75%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% Women in management JG6+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28.4%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32%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40%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Community investment (MYR M)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60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85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Independent ESG rating (Sustainalytics)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Med-Risk 24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Low-Risk 18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Low-Risk &lt; 15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FY27</w:t>
            </w:r>
          </w:p>
        </w:tc>
        <w:tc>
          <w:tcPr>
            <w:tcW w:type="dxa" w:w="850"/>
          </w:tcPr>
          <w:p>
            <w:r/>
            <w:r>
              <w:rPr>
                <w:rFonts w:ascii="Aptos" w:hAnsi="Aptos"/>
                <w:sz w:val="18"/>
              </w:rPr>
              <w:t>FY30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/>
          <w:i w:val="0"/>
          <w:sz w:val="20"/>
        </w:rPr>
        <w:t>Strategic commitments: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Reskilling fund of MYR 60M committed FY2025-2027 (priority: AI, data, sustainability, digital)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Living wage certification for direct workforce by FY2026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Top-100 succession depth: every Group ExCo + Division CEO role to have ≥ 2 ready-now successors by FY2026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Community SROI ≥ 3.0× across the Group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3. Division-by-Division Strategy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Each of the 11 divisions has a defined strategic role within Zava Forward 2030. The role drives capital allocation, M&amp;A appetite, and the ambition level on cost, growth and sustainability.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8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Strategic Role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FY25 EBITDA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FY27 Target</w:t>
            </w:r>
          </w:p>
        </w:tc>
        <w:tc>
          <w:tcPr>
            <w:tcW w:type="dxa" w:w="283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M&amp;A Posture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Chemicals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Defend &amp; extend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480M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600M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Selective bolt-on (specialty)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Agribusiness &amp; Plantations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Operational excellence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320M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410M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exit non-strategic estates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Manufacturing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Digital transformation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360M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480M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Selective (advanced manuf.)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Compound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920M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1,150M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Active (wealth, fintech)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Recover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-9M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320M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recycle MYR 600M assets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Compound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1,180M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Active (US/EU mid-tier)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Trading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Risk-managed run-off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110M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140M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Divest non-core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Compound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700M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880M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Active (branded niches)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Healthcare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Reinvent format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-6M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180M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recycle low-utilisation assets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Retail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Format reset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-11M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140M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Hold; close underperformers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Aptos" w:hAnsi="Aptos"/>
                <w:sz w:val="18"/>
              </w:rPr>
              <w:t>Treasury Holdings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Capital allocator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MYR 39M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MYR 90M</w:t>
            </w:r>
          </w:p>
        </w:tc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capital allocator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Chemicals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Anchor commodity-grade book on cost-leadership; tilt mix to specialty chemicals (electronics, EV battery materials, semiconductor packaging) targeting 35% of revenue by FY2027 (FY25 actual: 22%). Capacity expansion at Pengerang via brownfield to capture incremental ASEAN demand. Carbon-cost preparation: methane abatement programme and 100MW captive solar.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Agribusiness &amp; Plantations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Yield-recovery programme across Sumatran estates (target 23 t/ha by FY2027, vs 19 t/ha FY2025). Replanting acceleration funded by sustainability-linked sukuk. Exit two non-core upstream estates (Kalimantan Barat) and reinvest into refinery capacity. NDPE compliance to 100% by FY2027.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Manufacturing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Industrial digital transformation across 14 plants; target 30% labour-productivity uplift by FY2027 via AI-assisted predictive maintenance and adaptive scheduling. Aerospace contract pipeline (MRO + parts) to 22% of revenue. Two plant closures (Kuala Lumpur + Subang Jaya) and concentration into the Senai mega-site.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Financial Services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Compound advantage. Wealth-management arm launch FY2026 (target MYR 25B AUM by FY2028). Margin-lending and securities-financing scale-up. Deeper IB underwriting capability across ASEAN ECM/DCM. Asset quality discipline: NPL &lt; 1.5% through cycle. Selective wealth + fintech bolt-ons.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Properties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Recovery anchored on three pillars: (1) sell-down of 320 unsold units at Mid-Valley with sharper pricing and bundled financing; (2) Penang Tower recovery via mixed-use repositioning to office + serviced apartments; (3) Disposal of MYR 600M non-core land bank. New launches paused until inventory months-of-supply &lt; 8.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BPO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Compounding engine. Two US bolt-ons targeted FY2026/27 (combined revenue ~MYR 800M, EV MYR 1.5-2B). AI-led productivity converted into outcome-based pricing models (vs FTE-based). Centre expansion: Cebu (PH), Ho Chi Minh City (VN). New Cognitive Workbench platform deployed across all delivery centres.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Trading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Risk-managed run-off of energy-trading book post-Hindustan Bulk event; tighten counterparty limits, mandate trade-credit insurance for all single-counterparty exposure &gt; MYR 30M. Pivot to higher-margin specialty trading (rare earths, agri-soft). Divest non-core agri-trading subsidiary in Singapore (estimated proceeds MYR 280M).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Pharmaceuticals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Compound. Indonesia generics: file 12 ANDA dossiers per year; target 5 launches per year. Branded portfolio build in cardiometabolic and women's-health (Malaysia, Indonesia, Philippines). API backward-integration evaluation FY2026. Regulatory Co-pilot platform to compress dossier preparation time by 35%.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Healthcare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Reinvent. Convert Subang underutilised inpatient floors into day-surgery and outpatient chronic-care. Specialist-network pivot: more procedural volume, less low-acuity admission. Insurance partnership with Group Financial Services for bundled wellness products. Single-network branding refresh.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Retail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Format reset. Close 18 underperforming stores by mid-FY2026; redeploy 35% of saved cost into omni-channel platform investment. Category-killer pilot in beauty + electronics (selectively bigger basket sizes). Dynamic pricing platform deployment. Loyalty programme refresh with fintech-enabled instalments.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3.x  Treasury Holdings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Group capital allocator. Continue acting as the in-house bank for all 11 divisions. Optimise the investment portfolio for through-cycle yield. Manage the FY2025-2027 MYR 12.4B capex programme allocation. Maintain Net Debt / EBITDA &lt; 3.0× through cycle.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4. M&amp;A and Portfolio Pipeline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has assembled a disciplined, division-led M&amp;A pipeline. Each opportunity is assessed against minimum hurdles: 5-year IRR ≥ 12%, EPS-accretion within 24 months, post-deal Net Debt/EBITDA &lt; 3.0×, and demonstrable strategic fit with the five pillars of Zava Forward 2030.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4.1 Acquisition Pipeline (FY2025-2027)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68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Target</w:t>
            </w:r>
          </w:p>
        </w:tc>
        <w:tc>
          <w:tcPr>
            <w:tcW w:type="dxa" w:w="158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EV (MYR M)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Close Target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M-1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US BPO Project Anvil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Mid-tier US BPO; ~MYR 500M revenue; banking/insurance vertical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900-1,100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NDA + early due diligence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M-2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EU BPO Project Mercury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European mid-tier; ~MYR 300M revenue; healthcare/pharma vertical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600-800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Long-list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M-3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Indonesia Wealth Project Pearl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Independent wealth manager; AUM ~MYR 6B; OJK licence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450-550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NDA signed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M-4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Vietnam SME Lender Project Tiger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Small SME lender, MYR 1.2B portfolio; gateway licence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320-380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Term sheet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Q4 FY2025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M-5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Branded Cardio API Maker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Indonesia branded API; 4 products; cGMP-certified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180-240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Indicative offer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M-6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Women's Health Brand SEA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Women's-health branded portfolio; 6 SKUs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120-180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Confidential discussion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FY2027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M-7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Specialty Chemicals Bolt-on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Chemicals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EV battery additives; ~MYR 200M revenue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350-450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Long-list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FY2027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M-8</w:t>
            </w:r>
          </w:p>
        </w:tc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Day-surgery Chain</w:t>
            </w:r>
          </w:p>
        </w:tc>
        <w:tc>
          <w:tcPr>
            <w:tcW w:type="dxa" w:w="1587"/>
          </w:tcPr>
          <w:p>
            <w:r/>
            <w:r>
              <w:rPr>
                <w:rFonts w:ascii="Aptos" w:hAnsi="Aptos"/>
                <w:sz w:val="18"/>
              </w:rPr>
              <w:t>Healthcare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4-clinic ambulatory chain in MY; complement to inpatient network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180-220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Long-list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FY2027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4.2 Divestment Pipeline (FY2025-2027)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68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Code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Asset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311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Rationale</w:t>
            </w:r>
          </w:p>
        </w:tc>
        <w:tc>
          <w:tcPr>
            <w:tcW w:type="dxa" w:w="170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Expected Proceeds (MYR M)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Close Target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D-1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Klang Valley Land Bank (3 parcels)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Non-core; long-dated holding cost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450-550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IM out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D-2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Penang Tower Phase 2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Strategic exit post-writedown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180-220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Discussions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D-3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Surabaya Mfg JV (50%)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Manufacturing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Non-core; partner ROFR exercised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260-320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Negotiating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Q3 FY2025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D-4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Singapore Agri-Trading Sub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Trading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Non-core post-Hindustan Bulk event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240-300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Auction prep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H2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D-5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2 Kalimantan Barat Estates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Agribusiness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Non-strategic; recycle into refinery capacity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350-400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Beauty parade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H1 FY2026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Aptos" w:hAnsi="Aptos"/>
                <w:sz w:val="18"/>
              </w:rPr>
              <w:t>D-6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18 Underperforming Retail Stores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Retail</w:t>
            </w:r>
          </w:p>
        </w:tc>
        <w:tc>
          <w:tcPr>
            <w:tcW w:type="dxa" w:w="3118"/>
          </w:tcPr>
          <w:p>
            <w:r/>
            <w:r>
              <w:rPr>
                <w:rFonts w:ascii="Aptos" w:hAnsi="Aptos"/>
                <w:sz w:val="18"/>
              </w:rPr>
              <w:t>Format reset</w:t>
            </w:r>
          </w:p>
        </w:tc>
        <w:tc>
          <w:tcPr>
            <w:tcW w:type="dxa" w:w="1701"/>
          </w:tcPr>
          <w:p>
            <w:r/>
            <w:r>
              <w:rPr>
                <w:rFonts w:ascii="Aptos" w:hAnsi="Aptos"/>
                <w:sz w:val="18"/>
              </w:rPr>
              <w:t>Lease exit; net-positive cash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In execution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Through FY2026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Total expected M&amp;A deployment FY2025-2027: MYR 2.5-3.5 billion. Total expected divestment proceeds FY2025-2027: MYR 1.5-2.0 billion. Net deployment: MYR 1.0-1.5 billion to be funded from operating cash flow and existing facility headroom.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5. Capital Allocation FY2025-2027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Group has approved a MYR 12.4 billion capital expenditure programme for the three-year period FY2025-2027, reflecting the strategic priorities set out in pillars 1-5.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5.1 Capex by Division (MYR M)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Division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FY2025 Plan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FY2026 Plan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FY2027 Plan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3-yr Total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% of Group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Chemicals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1,450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11.7%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Agribusiness &amp; Plantations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1,050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8.5%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Manufacturing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410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1,250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10.1%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Financial Services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650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5.2%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Properties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620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BPO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9.0%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Trading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1.0%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Pharmaceuticals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840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6.8%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Healthcare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4.2%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Retail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460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3.7%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Treasury Holdings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70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0.6%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Energy Transition (cross-cutting)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720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880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2,420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19.5%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Digital &amp; AI (cross-cutting)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520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1,420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11.5%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Group Other (HQ, real estate)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180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420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3.4%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TOTAL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4,070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4,205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4,125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12,400</w:t>
            </w:r>
          </w:p>
        </w:tc>
        <w:tc>
          <w:tcPr>
            <w:tcW w:type="dxa" w:w="1361"/>
          </w:tcPr>
          <w:p>
            <w:r/>
            <w:r>
              <w:rPr>
                <w:rFonts w:ascii="Aptos" w:hAnsi="Aptos"/>
                <w:sz w:val="18"/>
              </w:rPr>
              <w:t>100.0%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5.2 Capex by Strategic Theme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368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3-yr Total (MYR M)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% of Total</w:t>
            </w:r>
          </w:p>
        </w:tc>
        <w:tc>
          <w:tcPr>
            <w:tcW w:type="dxa" w:w="1417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Anchor Pillar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Energy Transition (Scope 1+2 abatement)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2,420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19.5%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Digital &amp; AI Platform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1,420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11.5%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3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Growth — Compound Engines (FS, BPO, Pharma)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2,610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21.0%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Maintenance Capex (all divisions)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3,200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25.8%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Operational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Recovery &amp; Reinvent (Properties, HC, Retail)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1,600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12.9%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1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Operational Excellence (Chem, Agri, Mfg, Trading)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1,150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9.3%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Pillar 1/2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Group HQ, Real Estate, Other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0.0%</w:t>
            </w:r>
          </w:p>
        </w:tc>
        <w:tc>
          <w:tcPr>
            <w:tcW w:type="dxa" w:w="1417"/>
          </w:tcPr>
          <w:p>
            <w:r/>
            <w:r>
              <w:rPr>
                <w:rFonts w:ascii="Aptos" w:hAnsi="Aptos"/>
                <w:sz w:val="18"/>
              </w:rPr>
              <w:t>—</w:t>
            </w:r>
          </w:p>
        </w:tc>
      </w:tr>
    </w:tbl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5.3 Funding &amp; Capital Structure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The MYR 12.4B programme is funded via: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Operating Free Cash Flow: MYR 8.5-9.5B over the period (after working-capital, tax, finance costs)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Net Divestment Proceeds: MYR 1.5-2.0B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Additional Borrowing: MYR 1.5-2.0B (incremental sustainability-linked instruments preferred)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Dividend Reinvestment / Scrip: MYR 0.5-0.8B contingency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Capital-structure target: Net Debt / EBITDA &lt; 3.0× through cycle (hard covenant limit 3.5×). Interest cover &gt; 4.0×. Cash + undrawn committed facilities ≥ 12 months of debt maturity at all times.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6. People &amp; Culture Agenda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Forward 2030 cannot be delivered without parallel investment in talent, leadership pipeline depth, and culture.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6.1 Talent Initiatives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Re-skilling fund of MYR 60M committed FY2025-2027 — priority capabilities: AI, data, sustainability, digital product, advanced manufacturing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Top-100 succession depth: every Group ExCo and Division CEO role to have ≥ 2 ready-now successors by FY2026 (current: 71% have at least one identified successor)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Internal-fill rate of senior roles: target &gt; 65% by FY2027 (FY25 baseline 52%)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Leadership pipeline: Zava Academy Senior Leader Programme launched for Top-300 (cohort size 60 per year)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6.2 Culture &amp; Engagement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Engagement (Pulse) target 78 by FY2027 (FY25 baseline 74). Top driver: career growth perception.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Voluntary attrition target &lt; 10% by FY2027 (FY25 baseline 12.4%). Focus on digital and sustainability roles where attrition is highest.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Reward modernisation: ESG-linked PSU 15% weight (already implemented FY2024); digital-skills premium for critical-shortage roles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Hybrid working: 3-2 model (3 days office, 2 days flexible) maintained; revisit FY2026 based on productivity and engagement data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6.3 Diversity, Equity &amp; Inclusion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Women in management JG6+: 32% by FY2027, 40% by FY2030 (FY25 baseline 28.4%)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Persons with disability: 1.2% by FY2027, 2.0% by FY2030 (FY25 baseline 0.8%)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Local-national senior managers in each ASEAN country &gt; 78% by FY2027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Pay equity (adjusted): &lt; 1% gender gap maintained year-on-year</w:t>
      </w:r>
    </w:p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7. Strategic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83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1020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4819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Mitigation Focus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Recovery in Properties slower than plan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Aggressive sell-down + asset disposal; format conversion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ASEAN carbon pricing earlier or steeper than expected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Accelerated abatement capex; nature-based offsets reserve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IDR/USD continues to weaken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Layered hedging programme; pricing pass-through; ID localisation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BPO AI productivity → client share-of-savings claims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Outcome-based pricing pivot; vertical specialisation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Healthcare patient volumes structurally lower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Format conversion to outpatient/day-surgery; ambulatory M&amp;A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M&amp;A pipeline mis-execution (overpay, integration)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Disciplined hurdle rates; pre-deal integration plans; governance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Cyber incident / ransomware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Zero-trust roll-out FY2025; quarterly red team; cyber insurance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Geopolitical (US-China supply-chain)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Multi-source critical components; ASEAN+1 supplier diversification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Property writedowns (Penang Tower, Mid-Valley)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Conservative carrying values; quarterly impairment testing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Aptos" w:hAnsi="Aptos"/>
                <w:sz w:val="18"/>
              </w:rPr>
              <w:t>Regulatory change (PDPA MY 2024 amend, UU PDP ID)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rFonts w:ascii="Aptos" w:hAnsi="Aptos"/>
                <w:sz w:val="18"/>
              </w:rPr>
              <w:t>High</w:t>
            </w:r>
          </w:p>
        </w:tc>
        <w:tc>
          <w:tcPr>
            <w:tcW w:type="dxa" w:w="4819"/>
          </w:tcPr>
          <w:p>
            <w:r/>
            <w:r>
              <w:rPr>
                <w:rFonts w:ascii="Aptos" w:hAnsi="Aptos"/>
                <w:sz w:val="18"/>
              </w:rPr>
              <w:t>DPO appointed; mandatory breach process; staff training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Aptos" w:hAnsi="Aptos"/>
          <w:b/>
          <w:color w:val="1F4E79"/>
          <w:sz w:val="40"/>
        </w:rPr>
        <w:t>8. Strategy Cascade &amp; Governance</w:t>
      </w:r>
    </w:p>
    <w:p>
      <w:pPr>
        <w:spacing w:after="120" w:line="276" w:lineRule="auto"/>
      </w:pPr>
      <w:r>
        <w:rPr>
          <w:rFonts w:ascii="Aptos" w:hAnsi="Aptos"/>
          <w:b w:val="0"/>
          <w:i w:val="0"/>
          <w:sz w:val="20"/>
        </w:rPr>
        <w:t>Zava Forward 2030 is operationalised through a structured cascade and governance rhythm.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8.1 KPI Cascade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Group strategic KPIs (15) — owned by Group ExCo, tracked monthly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Division strategic KPIs (8-10 per division) — owned by Division CEO, cascaded to function heads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Function strategic KPIs (5-8 per function) — owned by Function head, cascaded to teams</w:t>
      </w:r>
    </w:p>
    <w:p>
      <w:pPr>
        <w:pStyle w:val="ListBullet"/>
        <w:spacing w:after="60"/>
      </w:pPr>
      <w:r>
        <w:rPr>
          <w:rFonts w:ascii="Aptos" w:hAnsi="Aptos"/>
          <w:sz w:val="20"/>
        </w:rPr>
        <w:t>Individual KPIs — every JG5+ employee has minimum two strategy-aligned KPIs in their annual plan</w:t>
      </w:r>
    </w:p>
    <w:p>
      <w:pPr>
        <w:keepNext/>
        <w:spacing w:before="200" w:after="120"/>
      </w:pPr>
      <w:r>
        <w:rPr>
          <w:rFonts w:ascii="Aptos" w:hAnsi="Aptos"/>
          <w:b/>
          <w:color w:val="1F4E79"/>
          <w:sz w:val="28"/>
        </w:rPr>
        <w:t>8.2 Governance Cadence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551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Forum</w:t>
            </w:r>
          </w:p>
        </w:tc>
        <w:tc>
          <w:tcPr>
            <w:tcW w:type="dxa" w:w="1134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2268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Lead</w:t>
            </w:r>
          </w:p>
        </w:tc>
        <w:tc>
          <w:tcPr>
            <w:tcW w:type="dxa" w:w="3685"/>
            <w:shd w:val="clear" w:color="auto" w:fill="1F4E79"/>
          </w:tcPr>
          <w:p>
            <w:r/>
            <w:r>
              <w:rPr>
                <w:rFonts w:ascii="Aptos" w:hAnsi="Aptos"/>
                <w:b/>
                <w:color w:val="FFFFFF"/>
                <w:sz w:val="20"/>
              </w:rPr>
              <w:t>Focus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Group ExCo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Weekly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CEO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Operational rhythm + emerging issues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Group Strategy Council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Monthly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CEO + Strategy Director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KPI tracking, recovery plans, M&amp;A pipeline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Investment Committee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Monthly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CFO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Capex &gt; MYR 100M, M&amp;A, divestments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Audit &amp; Risk Committee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Quarterly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INED Chair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Risk register, internal audit, financial integrity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Sustainability Committee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Quarterly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INED Chair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Climate KPIs, ESG disclosures, social agenda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Board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Bi-monthly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Chairman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Strategy review, major decisions, regulatory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Strategy Refresh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Annual (Sept)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Strategy Director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Full Zava Forward 2030 refresh + cascade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Aptos" w:hAnsi="Aptos"/>
                <w:sz w:val="18"/>
              </w:rPr>
              <w:t>Strategy Deep-Refresh</w:t>
            </w:r>
          </w:p>
        </w:tc>
        <w:tc>
          <w:tcPr>
            <w:tcW w:type="dxa" w:w="1134"/>
          </w:tcPr>
          <w:p>
            <w:r/>
            <w:r>
              <w:rPr>
                <w:rFonts w:ascii="Aptos" w:hAnsi="Aptos"/>
                <w:sz w:val="18"/>
              </w:rPr>
              <w:t>3-yearly</w:t>
            </w:r>
          </w:p>
        </w:tc>
        <w:tc>
          <w:tcPr>
            <w:tcW w:type="dxa" w:w="2268"/>
          </w:tcPr>
          <w:p>
            <w:r/>
            <w:r>
              <w:rPr>
                <w:rFonts w:ascii="Aptos" w:hAnsi="Aptos"/>
                <w:sz w:val="18"/>
              </w:rPr>
              <w:t>Group CEO + Board</w:t>
            </w:r>
          </w:p>
        </w:tc>
        <w:tc>
          <w:tcPr>
            <w:tcW w:type="dxa" w:w="3685"/>
          </w:tcPr>
          <w:p>
            <w:r/>
            <w:r>
              <w:rPr>
                <w:rFonts w:ascii="Aptos" w:hAnsi="Aptos"/>
                <w:sz w:val="18"/>
              </w:rPr>
              <w:t>Major recalibration of pillars and capital allocation</w:t>
            </w:r>
          </w:p>
        </w:tc>
      </w:tr>
    </w:tbl>
    <w:p>
      <w:pPr>
        <w:spacing w:after="120" w:line="276" w:lineRule="auto"/>
      </w:pPr>
      <w:r>
        <w:rPr>
          <w:rFonts w:ascii="Aptos" w:hAnsi="Aptos"/>
          <w:b w:val="0"/>
          <w:i/>
          <w:sz w:val="20"/>
        </w:rPr>
        <w:t>Strategy delivery is the single most important deliverable of every senior leader. It is reflected in compensation, career outcomes, and accountability conversations. Zava Forward 2030 is not a document; it is the operating system of the Group.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