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Aptos" w:hAnsi="Aptos"/>
          <w:b/>
          <w:color w:val="1F4E79"/>
          <w:sz w:val="64"/>
        </w:rPr>
        <w:t>ZAVA GROUP</w:t>
        <w:br/>
      </w:r>
      <w:r>
        <w:rPr>
          <w:rFonts w:ascii="Aptos" w:hAnsi="Aptos"/>
          <w:b/>
          <w:color w:val="1F4E79"/>
          <w:sz w:val="40"/>
        </w:rPr>
        <w:t>FY2025 Investor Q&amp;A Anticipation Pack</w:t>
        <w:br/>
      </w:r>
    </w:p>
    <w:p>
      <w:pPr>
        <w:jc w:val="center"/>
      </w:pPr>
      <w:r>
        <w:rPr>
          <w:rFonts w:ascii="Aptos" w:hAnsi="Aptos"/>
          <w:i/>
          <w:color w:val="595959"/>
          <w:sz w:val="22"/>
        </w:rPr>
        <w:br/>
        <w:t>For use by IR Team only — Pre-results briefing pack</w:t>
        <w:br/>
        <w:t>Anticipated questions from sell-side analysts and top-30 institutional holders</w:t>
        <w:br/>
        <w:t>Source: Group IR with input from Group FP&amp;A and Division CFOs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1. Group Performance Overview</w:t>
      </w:r>
    </w:p>
    <w:p>
      <w:pPr>
        <w:spacing w:after="120" w:line="276" w:lineRule="auto"/>
      </w:pPr>
      <w:r>
        <w:rPr>
          <w:rFonts w:ascii="Aptos" w:hAnsi="Aptos"/>
          <w:b w:val="0"/>
          <w:i/>
          <w:sz w:val="20"/>
        </w:rPr>
        <w:t>This section addresses the headline FY2025 outcome, the bridge from the FY2024 base, and the sequencing of the recovery trajectory.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Q1.  </w:t>
      </w:r>
      <w:r>
        <w:rPr>
          <w:rFonts w:ascii="Aptos" w:hAnsi="Aptos"/>
          <w:b/>
          <w:color w:val="1F4E79"/>
          <w:sz w:val="22"/>
        </w:rPr>
        <w:t>Group revenue MYR 42.4B vs MYR 44.2B budget — the 4.1% top-line miss looks contained, but the EBITDA miss is 18%. Why the operating-leverage drag?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Three reasons. First, margin compression in Properties, Healthcare and Retail was disproportionate to revenue softness — the negative-EBITDA outcome in those three divisions is the single largest driver. Second, fixed-cost absorption deteriorated where utilisation slipped (Subang Healthcare at 58%, Penang chemical plant downtime). Third, IDR/USD adverse FX hit reported EBITDA by ~MYR 195M of pure translation. Net of these three buckets we account for ~MYR 1.1B of the MYR 1.3B EBITDA gap; the remaining ~MYR 200M reflects the Hindustan Bulk Trading-division event (~MYR 65M) plus smaller one-offs.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Group P&amp;L Summary tab; Variance Drill-Down tab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Q2.  </w:t>
      </w:r>
      <w:r>
        <w:rPr>
          <w:rFonts w:ascii="Aptos" w:hAnsi="Aptos"/>
          <w:b/>
          <w:color w:val="1F4E79"/>
          <w:sz w:val="22"/>
        </w:rPr>
        <w:t>Is the FY2025 outcome a structural break or a cyclical air-pocket?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Eight of eleven divisions are within ±5% of their plan EBITDA. The shortfall is concentrated in three specific divisions, each with identifiable, mostly cyclical drivers — Mid-Valley delay, Penang Tower writedown, post-pandemic patient-volume return, retail footfall correction. We see this as an acute cyclical event with structural overlay (online/format pressure in Retail, specialist mix in Healthcare). The recovery path is anchored on division-specific actions, not on hoping the cycle turns.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Q3.  </w:t>
      </w:r>
      <w:r>
        <w:rPr>
          <w:rFonts w:ascii="Aptos" w:hAnsi="Aptos"/>
          <w:b/>
          <w:color w:val="1F4E79"/>
          <w:sz w:val="22"/>
        </w:rPr>
        <w:t>How does FY2025 compare to your last comparable down-cycle?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In FY2020 (COVID year) Group EBITDA fell 22% YoY, recovering 28% in FY2021. The FY2025 EBITDA decline of 22% (vs FY2024) is the same order of magnitude. The FY2026 recovery is not expected to be as sharp — we are guiding 12-15% EBITDA recovery — because the property and retail formats need 18-24 months of execution to reset.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Q4.  </w:t>
      </w:r>
      <w:r>
        <w:rPr>
          <w:rFonts w:ascii="Aptos" w:hAnsi="Aptos"/>
          <w:b/>
          <w:color w:val="1F4E79"/>
          <w:sz w:val="22"/>
        </w:rPr>
        <w:t>What is the impact on dividends?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 Board has resolved to maintain the FY2025 final DPS at MYR 0.18 per share, in line with the dividend-policy target payout ratio of 40-60% of normalised PATAMI. The full-year DPS is therefore MYR 0.30. We did not pull from the dividend reserve; FY2025 PATAMI of MYR 2.1B comfortably covers the MYR 1.05B distribution.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Dividend policy: §8 of this document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Q5.  </w:t>
      </w:r>
      <w:r>
        <w:rPr>
          <w:rFonts w:ascii="Aptos" w:hAnsi="Aptos"/>
          <w:b/>
          <w:color w:val="1F4E79"/>
          <w:sz w:val="22"/>
        </w:rPr>
        <w:t>Has the FY2025 outcome triggered any covenant tightness?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Net Debt / EBITDA stands at 3.1× at year-end, against the most-restrictive covenant of 3.5×. We have approximately 11% headroom, in the Amber zone. We have proactively engaged all 18 lenders; no waiver has been required. The L11 (UOB MYR Term Loan) was the only facility where we sought a one-time waiver in February 2024 for the Penang Tower writedown specifically; that has been closed. We have a quarterly call scheduled with the lender group in Q1 FY2026.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Lender Covenant Tracker; Waiver History tab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Q6.  </w:t>
      </w:r>
      <w:r>
        <w:rPr>
          <w:rFonts w:ascii="Aptos" w:hAnsi="Aptos"/>
          <w:b/>
          <w:color w:val="1F4E79"/>
          <w:sz w:val="22"/>
        </w:rPr>
        <w:t>How do we read free cash flow this year?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FCF of MYR 2.18B is below the MYR 3.25B plan. The shortfall is ~75% EBITDA-driven and ~25% working-capital-driven (longer customer terms in Trading, inventory build-up in Retail and Properties). We expect working capital to release ~MYR 400M in H1 FY2026 as inventory normalises.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2. EBITDA Miss Drivers</w:t>
      </w:r>
    </w:p>
    <w:p>
      <w:pPr>
        <w:spacing w:after="120" w:line="276" w:lineRule="auto"/>
      </w:pPr>
      <w:r>
        <w:rPr>
          <w:rFonts w:ascii="Aptos" w:hAnsi="Aptos"/>
          <w:b w:val="0"/>
          <w:i/>
          <w:sz w:val="20"/>
        </w:rPr>
        <w:t>Detailed view on the MYR 1.3B EBITDA gap.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Q7.  </w:t>
      </w:r>
      <w:r>
        <w:rPr>
          <w:rFonts w:ascii="Aptos" w:hAnsi="Aptos"/>
          <w:b/>
          <w:color w:val="1F4E79"/>
          <w:sz w:val="22"/>
        </w:rPr>
        <w:t>Can you walk us through the EBITDA bridge from budget to actual?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 bridge is approximately: Properties contribution shortfall MYR 305M; Healthcare shortfall MYR 195M; Retail shortfall MYR 245M; Chemicals shortfall MYR 95M; Manufacturing shortfall MYR 85M; Agribusiness shortfall MYR 130M; Trading shortfall MYR 65M (Hindustan Bulk one-off); Treasury shortfall MYR 90M (mark-down on investment portfolio); FX translation drag MYR 195M; partially offset by Financial Services beat MYR 65M and BPO beat MYR 35M. Net: MYR 1.317B miss.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Variance Summary tab; Driver Tree tab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Q8.  </w:t>
      </w:r>
      <w:r>
        <w:rPr>
          <w:rFonts w:ascii="Aptos" w:hAnsi="Aptos"/>
          <w:b/>
          <w:color w:val="1F4E79"/>
          <w:sz w:val="22"/>
        </w:rPr>
        <w:t>Were there any unbudgeted one-offs that should be normalised out?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Three material one-offs: Penang Tower writedown MYR 320M (in Properties); Mid-Valley delay-related cost overrun MYR 110M; and the Hindustan Bulk counterparty event in Trading MYR 65M. Together MYR 495M. Stripping these, the underlying EBITDA miss would be ~MYR 822M, or ~11% of budget — still a miss, but more reflective of cyclical conditions than structural deterioration.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Q9.  </w:t>
      </w:r>
      <w:r>
        <w:rPr>
          <w:rFonts w:ascii="Aptos" w:hAnsi="Aptos"/>
          <w:b/>
          <w:color w:val="1F4E79"/>
          <w:sz w:val="22"/>
        </w:rPr>
        <w:t>How material is the FX drag and how should we model it for FY2026?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IDR/USD weakened ~9% YoY; this hit our consolidated MYR-reported EBITDA by ~MYR 195M of pure translation in FY2025 (no operational change in IDR-denominated subsidiaries). For FY2026 we are modelling 8.0-8.5% additional IDR weakness in our base case, implying additional translation drag of ~MYR 80-110M. We are progressively expanding our hedging programme but local-currency funding remains the most economical hedge for translation exposure.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Q10.  </w:t>
      </w:r>
      <w:r>
        <w:rPr>
          <w:rFonts w:ascii="Aptos" w:hAnsi="Aptos"/>
          <w:b/>
          <w:color w:val="1F4E79"/>
          <w:sz w:val="22"/>
        </w:rPr>
        <w:t>How concentrated is the EBITDA exposure across divisions?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No single division accounts for more than 19% of Group EBITDA. The top-3 (FS 15%, BPO 14%, Pharma 11%) account for 40% — diversified enough to absorb single-division shocks. The bottom-3 (Properties, Healthcare, Retail) currently subtract from Group EBITDA — this is the inverse problem: not concentration risk, but a need to recover three under-performers simultaneously.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Q11.  </w:t>
      </w:r>
      <w:r>
        <w:rPr>
          <w:rFonts w:ascii="Aptos" w:hAnsi="Aptos"/>
          <w:b/>
          <w:color w:val="1F4E79"/>
          <w:sz w:val="22"/>
        </w:rPr>
        <w:t>How are you confident that Properties, Healthcare and Retail recover by FY2027 rather than continuing to deteriorate?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Each division has a 90-day stabilisation plan now in execution; a 12-month recovery plan tracking against quantified milestones (sell-down rates for Properties, occupancy and case-mix for Healthcare, comp-store sales and online conversion for Retail); and a 3-year transformation plan with capital reallocation. The Group ExCo reviews progress monthly; the Audit &amp; Risk Committee reviews quarterly. The combined FY2026 recovery target is MYR 330M positive EBITDA contribution from these three divisions.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Strategy §3 — Pillar 1; Recovery Levers tab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Q12.  </w:t>
      </w:r>
      <w:r>
        <w:rPr>
          <w:rFonts w:ascii="Aptos" w:hAnsi="Aptos"/>
          <w:b/>
          <w:color w:val="1F4E79"/>
          <w:sz w:val="22"/>
        </w:rPr>
        <w:t>Are there scenarios in which you take a strategic-action call (write-down, exit, demerger) on any of the three Red divisions?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do not see Properties, Healthcare or Retail as candidates for full exit at this point. Each retains meaningful franchise value (Properties land-bank quality; Healthcare specialist network; Retail brand recognition). We have approved selective rationalisation: 18 underperforming retail stores to close; non-core property land-bank disposal of MYR 600M; conversion of underutilised Healthcare floors. A more comprehensive strategic review is built into the standard 24-month portfolio-review cadence — the next is scheduled Q3 FY2026.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3. Properties Division Deep-Dive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Q13.  </w:t>
      </w:r>
      <w:r>
        <w:rPr>
          <w:rFonts w:ascii="Aptos" w:hAnsi="Aptos"/>
          <w:b/>
          <w:color w:val="1F4E79"/>
          <w:sz w:val="22"/>
        </w:rPr>
        <w:t>The Mid-Valley Phase 2 completion delay — what is the realistic completion window now?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Phase 2 is now expected to complete by Q3 FY2026, an 8-month delay vs the FY2025 plan. The delay is largely contractor-driven; we have replaced two trade contractors and added a project-recovery team. We have provided for the delay impact in our FY2025 EBITDA. Phase 3 timing remains FY2027 H2.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Q14.  </w:t>
      </w:r>
      <w:r>
        <w:rPr>
          <w:rFonts w:ascii="Aptos" w:hAnsi="Aptos"/>
          <w:b/>
          <w:color w:val="1F4E79"/>
          <w:sz w:val="22"/>
        </w:rPr>
        <w:t>Penang Tower writedown of MYR 320M — what is the residual book value, and what is the recovery path?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Residual book value post-writedown is MYR 480M. We are repositioning the asset from pure-office to mixed-use (office + serviced apartments + retail podium). Concept design is complete; planning approval expected Q2 FY2026. Recovery EBITDA contribution targeted FY2027 onwards. We have stress-tested for a further MYR 80M writedown (1-in-20 scenario) and the capital position absorbs it.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Q15.  </w:t>
      </w:r>
      <w:r>
        <w:rPr>
          <w:rFonts w:ascii="Aptos" w:hAnsi="Aptos"/>
          <w:b/>
          <w:color w:val="1F4E79"/>
          <w:sz w:val="22"/>
        </w:rPr>
        <w:t>How should we read the unsold inventory of 320 units in Klang Valley?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At current sales velocity of ~22 units/month group-wide, this is ~14 months of supply. We have reduced new launches and are accelerating sell-down via bundled financing (in partnership with Group Financial Services arm), targeted price discipline (5-7% reductions on selective stock), and incentive packages. The target is to reduce unsold inventory below 200 units by end-FY2026.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Q16.  </w:t>
      </w:r>
      <w:r>
        <w:rPr>
          <w:rFonts w:ascii="Aptos" w:hAnsi="Aptos"/>
          <w:b/>
          <w:color w:val="1F4E79"/>
          <w:sz w:val="22"/>
        </w:rPr>
        <w:t>Are you considering REIT-isation of any of the property portfolio?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have evaluated REIT-isation periodically; at current cap-rate and yield environment, a REIT vehicle would be sub-optimal versus continuing to hold and recycle assets directly. We have shortlisted approximately MYR 1.4B of stabilised income-producing assets that could form the basis of a future REIT, but this is not on the FY2026 capital-markets agenda.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Q17.  </w:t>
      </w:r>
      <w:r>
        <w:rPr>
          <w:rFonts w:ascii="Aptos" w:hAnsi="Aptos"/>
          <w:b/>
          <w:color w:val="1F4E79"/>
          <w:sz w:val="22"/>
        </w:rPr>
        <w:t>What is the breakdown of the MYR 600M asset-disposal target?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Three components: (a) MYR 350M of land-bank disposal (3 parcels in Klang Valley, IM out to interested parties); (b) MYR 180M Penang Tower Phase 2 strategic exit if pricing is achieved; (c) MYR 70M legacy retail real-estate. Proceeds will be reinvested into core development pipeline and partly used to delever.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Strategy §4 — Divestment Pipeline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4. Healthcare Division Deep-Dive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Q18.  </w:t>
      </w:r>
      <w:r>
        <w:rPr>
          <w:rFonts w:ascii="Aptos" w:hAnsi="Aptos"/>
          <w:b/>
          <w:color w:val="1F4E79"/>
          <w:sz w:val="22"/>
        </w:rPr>
        <w:t>Patient volumes are 11% below pre-pandemic — is this the new normal?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Our reading is that ~6-7% of the gap is structural (telemedicine substitution for low-acuity consultations; reduced elective procedure backlog from peak post-pandemic restoration) and ~4-5% is cyclical (cost-of-living-driven postponement of elective procedures and aesthetic services). Specialist procedural volume is more resilient than primary care; this informs our format conversion.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Q19.  </w:t>
      </w:r>
      <w:r>
        <w:rPr>
          <w:rFonts w:ascii="Aptos" w:hAnsi="Aptos"/>
          <w:b/>
          <w:color w:val="1F4E79"/>
          <w:sz w:val="22"/>
        </w:rPr>
        <w:t>The Subang facility at 58% utilisation — what is the format-conversion plan?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are converting two underutilised inpatient floors to outpatient day-surgery and chronic-care formats. Capex required is MYR 35M; planning approval from MOH targeted Q2 FY2026. Once converted, we expect blended utilisation to lift to 78% by FY2027 and EBITDA contribution to recover MYR 65M.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Recovery Levers tab; Strategy §3.x Healthcare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Q20.  </w:t>
      </w:r>
      <w:r>
        <w:rPr>
          <w:rFonts w:ascii="Aptos" w:hAnsi="Aptos"/>
          <w:b/>
          <w:color w:val="1F4E79"/>
          <w:sz w:val="22"/>
        </w:rPr>
        <w:t>How do you view the specialist consultant cost trajectory? It seems to be the single biggest pressure.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Specialist cost grew 7% YoY against revenue growth of 1%. We are renegotiating bundled-procedure contracts vs fee-per-service for high-volume specialties (cardiology, orthopaedics, ophthalmology) — early data shows 3-5% cost reduction with no impact on quality. We are also building junior consultant career paths to reduce reliance on senior locum specialists. Steady-state target: specialist cost/revenue ratio at 22% (FY25 actual: 26%).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Q21.  </w:t>
      </w:r>
      <w:r>
        <w:rPr>
          <w:rFonts w:ascii="Aptos" w:hAnsi="Aptos"/>
          <w:b/>
          <w:color w:val="1F4E79"/>
          <w:sz w:val="22"/>
        </w:rPr>
        <w:t>Is bundled-product partnership with the FS arm just a slogan or has it real economic content?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It has economic content. We are designing a wellness-bundled health-insurance product with the Group FS arm, targeting middle-class urban customers in Malaysia. The bundle includes annual screenings at our hospitals, telemedicine access, and a managed condition path. Pricing modelled at MYR 180-220 per month per family. Soft-launch Q2 FY2026, target 25,000 subscribers by end-FY2027.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5. Retail Division Deep-Dive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Q22.  </w:t>
      </w:r>
      <w:r>
        <w:rPr>
          <w:rFonts w:ascii="Aptos" w:hAnsi="Aptos"/>
          <w:b/>
          <w:color w:val="1F4E79"/>
          <w:sz w:val="22"/>
        </w:rPr>
        <w:t>The footfall decline of 14% — is this digital cannibalisation, or is footfall structurally declining for the format you operate?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Diagnostic data suggests both. Approximately 60% of the footfall decline correlates with online conversion (the same customer is buying online instead of physical); the remaining 40% is footfall lost outright (post-pandemic mall avoidance, fuel-cost-constrained discretionary travel, local catchment dilution). We are responding with omni-channel investment for the first 60%, and store-portfolio rationalisation for the last 40%.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Q23.  </w:t>
      </w:r>
      <w:r>
        <w:rPr>
          <w:rFonts w:ascii="Aptos" w:hAnsi="Aptos"/>
          <w:b/>
          <w:color w:val="1F4E79"/>
          <w:sz w:val="22"/>
        </w:rPr>
        <w:t>You are closing 18 stores. What is the criteria, and what is the saved-cost reinvestment thesis?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Criteria: 4-wall EBITDA margin &lt; 5%, comp-sales decline &gt; 10% for 3 consecutive years, and lease-renewal renegotiation likelihood low. Saved cost target MYR 95M annualised. We will reinvest 35% of saved cost into omni-channel platform (digital fulfilment, in-store pickup, dynamic pricing) and 25% into category-killer pilot (beauty + electronics flagship). The remaining 40% goes to deleveraging.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Recovery Levers tab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Q24.  </w:t>
      </w:r>
      <w:r>
        <w:rPr>
          <w:rFonts w:ascii="Aptos" w:hAnsi="Aptos"/>
          <w:b/>
          <w:color w:val="1F4E79"/>
          <w:sz w:val="22"/>
        </w:rPr>
        <w:t>The MYR 110M inventory writedown — is this a one-off or do you expect more in FY2026?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 MYR 110M was specifically against FW2024 carryover stock and Cat A surplus. We have tightened buying-margin discipline, deployed dynamic-markdown algorithms, and reduced open-to-buy budgets by 8%. We do not expect a repeat of this scale. FY2026 inventory provisioning is back to normalised level of ~1.5% of revenue.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Q25.  </w:t>
      </w:r>
      <w:r>
        <w:rPr>
          <w:rFonts w:ascii="Aptos" w:hAnsi="Aptos"/>
          <w:b/>
          <w:color w:val="1F4E79"/>
          <w:sz w:val="22"/>
        </w:rPr>
        <w:t>How much of the omni-channel investment converts to actual gross-margin uplift?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Our internal modelling assumes a 130-180 bps gross-margin uplift over 24-36 months, driven by mix shift to higher-margin own-label, dynamic-pricing capture, and reduced markdown depth. We will report progress as a separately broken-out line in the FY2026 results.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6. Other Divisions — Brief Updates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Q26.  </w:t>
      </w:r>
      <w:r>
        <w:rPr>
          <w:rFonts w:ascii="Aptos" w:hAnsi="Aptos"/>
          <w:b/>
          <w:color w:val="1F4E79"/>
          <w:sz w:val="22"/>
        </w:rPr>
        <w:t>Chemicals: how exposed are you to a prolonged China demand softness?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Approximately 28% of Chemicals revenue is China-exposed (direct exports + indirect via ASEAN customers servicing China). We are accelerating the mix shift to specialty chemicals (target 35% specialty by FY2027 vs 22% FY25); the Pengerang capacity expansion is targeted at this shift. Domestic and intra-ASEAN demand remains resilient.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Q27.  </w:t>
      </w:r>
      <w:r>
        <w:rPr>
          <w:rFonts w:ascii="Aptos" w:hAnsi="Aptos"/>
          <w:b/>
          <w:color w:val="1F4E79"/>
          <w:sz w:val="22"/>
        </w:rPr>
        <w:t>Agribusiness: with CPO down 18%, what is your base-case for FY2026?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are modelling MYR 3,400-3,500 / MT for FY2026 (vs MYR 3,750 average FY2025), a further 5-7% decline in our base case. Our cost-of-production at refined-level is MYR 2,750 / MT, so we remain profitable at our base case. The yield-recovery programme in Sumatra contributes ~MYR 32M of FY2026 EBITDA.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Q28.  </w:t>
      </w:r>
      <w:r>
        <w:rPr>
          <w:rFonts w:ascii="Aptos" w:hAnsi="Aptos"/>
          <w:b/>
          <w:color w:val="1F4E79"/>
          <w:sz w:val="22"/>
        </w:rPr>
        <w:t>Manufacturing: is the auto-OEM softness cyclical?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Yes, our reading is cyclical, primarily driven by ASEAN auto-OEM inventory destocking. We expect normalisation H2 FY2026. The Penang plant downtime is being addressed via mechanical-reliability programme; aerospace contract pipeline is intact.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Q29.  </w:t>
      </w:r>
      <w:r>
        <w:rPr>
          <w:rFonts w:ascii="Aptos" w:hAnsi="Aptos"/>
          <w:b/>
          <w:color w:val="1F4E79"/>
          <w:sz w:val="22"/>
        </w:rPr>
        <w:t>Financial Services: what is driving the beat? Is it sustainable?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Three drivers: margin lending growth (book +18% YoY), improved investment income (rates environment), and underwriting-fee beat (3 mandates closed in H2). The first two are sustainable into FY2026; the third is mandate-dependent. We are building wealth-management capability to add a structural growth pillar.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Q30.  </w:t>
      </w:r>
      <w:r>
        <w:rPr>
          <w:rFonts w:ascii="Aptos" w:hAnsi="Aptos"/>
          <w:b/>
          <w:color w:val="1F4E79"/>
          <w:sz w:val="22"/>
        </w:rPr>
        <w:t>BPO: how much of the AI productivity will the BPO industry ultimately have to give back to clients?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Approximately 35-50% in our experience. The other side of that is: our AI-leveraged delivery cost falls faster, opening pricing room for outcome-based models that capture more value per customer. Our pricing strategy is shifting to vertical-specialised, outcome-based contracts where we share in customer business outcomes. New US client wins in FY2025 reflect this transition.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Q31.  </w:t>
      </w:r>
      <w:r>
        <w:rPr>
          <w:rFonts w:ascii="Aptos" w:hAnsi="Aptos"/>
          <w:b/>
          <w:color w:val="1F4E79"/>
          <w:sz w:val="22"/>
        </w:rPr>
        <w:t>Trading: post-Hindustan Bulk, is there any further counterparty risk in the energy book?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have completed full review of the top-30 counterparties; no other counterparty shows similar early-warning signs. Trade-credit insurance has been mandated for all single-counterparty exposures &gt; MYR 30M (with effect from Sep 2024). We are also tightening credit-limit reviews to monthly cadence.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Q32.  </w:t>
      </w:r>
      <w:r>
        <w:rPr>
          <w:rFonts w:ascii="Aptos" w:hAnsi="Aptos"/>
          <w:b/>
          <w:color w:val="1F4E79"/>
          <w:sz w:val="22"/>
        </w:rPr>
        <w:t>Pharmaceuticals: how do you balance generics speed-to-market with the new branded portfolio investment?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They use largely separate teams. Generics is a tender-and-volume game — our 12 ANDA-per-year filing target is independent of the branded build. Branded portfolio is being built selectively in two niches (cardiometabolic and women's health) where we have established regulatory and channel strengths.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7. Capital Allocation &amp; Capex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Q33.  </w:t>
      </w:r>
      <w:r>
        <w:rPr>
          <w:rFonts w:ascii="Aptos" w:hAnsi="Aptos"/>
          <w:b/>
          <w:color w:val="1F4E79"/>
          <w:sz w:val="22"/>
        </w:rPr>
        <w:t>The MYR 12.4B 3-year capex programme — is this affordable given the FY2025 cash flow?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Affordability is built around three sources: (a) operating cash flow of MYR 8.5-9.5B over the 3-year period (after working-capital, tax, finance costs); (b) net divestment proceeds of MYR 1.5-2.0B; (c) incremental borrowings of MYR 1.5-2.0B (preferentially sustainability-linked). Net Debt/EBITDA will move temporarily towards 3.3-3.4× before returning under 3.0× by end-FY2027.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Strategy §5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Q34.  </w:t>
      </w:r>
      <w:r>
        <w:rPr>
          <w:rFonts w:ascii="Aptos" w:hAnsi="Aptos"/>
          <w:b/>
          <w:color w:val="1F4E79"/>
          <w:sz w:val="22"/>
        </w:rPr>
        <w:t>Why MYR 2.4B of energy-transition capex specifically — what is the IRR?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 MYR 2.4B includes (i) solar + storage at all manufacturing/refinery sites (MYR 1.4B, IRR 9-12% before sustainability-linked-loan margin step-down benefits); (ii) electrification of agri operations (MYR 0.5B, IRR 7-10%); (iii) methane abatement and minor process upgrades (MYR 0.5B, IRR 11-15%). Blended IRR ~10%, before the regulatory cost-avoidance benefit (carbon pricing in MY/ID by 2026-27) which adds 200-300 bps.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Q35.  </w:t>
      </w:r>
      <w:r>
        <w:rPr>
          <w:rFonts w:ascii="Aptos" w:hAnsi="Aptos"/>
          <w:b/>
          <w:color w:val="1F4E79"/>
          <w:sz w:val="22"/>
        </w:rPr>
        <w:t>How do you think about the relative claim of the three Red divisions on capex?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They get minimum-required maintenance capex (~MYR 1.6B over 3 years, 12.9% of total) but no growth capex until ROIC &gt; 8%. This discipline is a deliberate design feature of the recovery programme. Releasing growth capex too early would not change the recovery trajectory and would dilute capital available for the compound engines.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Q36.  </w:t>
      </w:r>
      <w:r>
        <w:rPr>
          <w:rFonts w:ascii="Aptos" w:hAnsi="Aptos"/>
          <w:b/>
          <w:color w:val="1F4E79"/>
          <w:sz w:val="22"/>
        </w:rPr>
        <w:t>Could you defer significant capex if cash-flow pressures intensify?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Yes. Approximately MYR 2.8B of the 3-year programme is sequenced FY2026-2027 and is deferrable up to 9-12 months without breaking strategic milestones. Maintenance capex of MYR 3.2B is essentially non-deferrable. Energy-transition capex is partly deferrable but with regulatory-cost trade-off. We have built explicit deferral playbooks for two stress scenarios.</w:t>
      </w:r>
    </w:p>
    <w:p>
      <w:r>
        <w:br w:type="page"/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8. Dividend Policy &amp; Distributions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Q37.  </w:t>
      </w:r>
      <w:r>
        <w:rPr>
          <w:rFonts w:ascii="Aptos" w:hAnsi="Aptos"/>
          <w:b/>
          <w:color w:val="1F4E79"/>
          <w:sz w:val="22"/>
        </w:rPr>
        <w:t>Confirm the FY2025 dividend.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Interim DPS MYR 0.12 (paid Sep 2024); Final DPS MYR 0.18 (proposed; subject to AGM approval). Full-year DPS MYR 0.30, unchanged YoY. Total distribution MYR 1.05B against PATAMI of MYR 2.1B — payout ratio 50%.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Q38.  </w:t>
      </w:r>
      <w:r>
        <w:rPr>
          <w:rFonts w:ascii="Aptos" w:hAnsi="Aptos"/>
          <w:b/>
          <w:color w:val="1F4E79"/>
          <w:sz w:val="22"/>
        </w:rPr>
        <w:t>Will you maintain MYR 0.30 DPS through FY2027 if EBITDA recovery is delayed?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Our policy is 40-60% payout of normalised PATAMI. If FY2026 PATAMI recovers per plan to MYR 2.6B, the policy supports MYR 0.30-0.40 DPS. In a downside scenario (FY2026 PATAMI flat at MYR 2.1B), we would maintain MYR 0.30. We would only consider DPS reduction in a more severe scenario, which is not in our base-case planning.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Q39.  </w:t>
      </w:r>
      <w:r>
        <w:rPr>
          <w:rFonts w:ascii="Aptos" w:hAnsi="Aptos"/>
          <w:b/>
          <w:color w:val="1F4E79"/>
          <w:sz w:val="22"/>
        </w:rPr>
        <w:t>Any plans for special dividends or buybacks?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Not in the FY2025-2027 horizon. Capital deployment priorities are (i) the MYR 12.4B capex programme, (ii) selective M&amp;A, (iii) maintaining the dividend policy. Buyback consideration would only arise post-FY2027 if capital structure has surplus.</w:t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9. M&amp;A Pipeline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Q40.  </w:t>
      </w:r>
      <w:r>
        <w:rPr>
          <w:rFonts w:ascii="Aptos" w:hAnsi="Aptos"/>
          <w:b/>
          <w:color w:val="1F4E79"/>
          <w:sz w:val="22"/>
        </w:rPr>
        <w:t>Walk us through the BPO M&amp;A pipeline (M-1 and M-2).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M-1 (US Project Anvil) is in NDA + early DD; we are interested but the EV expectation needs to compress 8-12% to meet our IRR hurdle. We will not chase. Realistic close H1 FY2026 if pricing aligns. M-2 (EU Project Mercury) is on long-list; market has more potential targets — we expect to identify a preferred candidate by Q2 FY2026.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Strategy §4 — Acquisition Pipeline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Q41.  </w:t>
      </w:r>
      <w:r>
        <w:rPr>
          <w:rFonts w:ascii="Aptos" w:hAnsi="Aptos"/>
          <w:b/>
          <w:color w:val="1F4E79"/>
          <w:sz w:val="22"/>
        </w:rPr>
        <w:t>Wealth management arm — build vs buy?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Hybrid. We are building distribution and advisor team organically (with Group customer-base advantage), but we are also evaluating a tactical acquisition of an established wealth manager (M-3 Project Pearl, Indonesia) to accelerate AUM scale. Decision Q2 FY2026.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Q42.  </w:t>
      </w:r>
      <w:r>
        <w:rPr>
          <w:rFonts w:ascii="Aptos" w:hAnsi="Aptos"/>
          <w:b/>
          <w:color w:val="1F4E79"/>
          <w:sz w:val="22"/>
        </w:rPr>
        <w:t>What is your EV / IRR discipline for M&amp;A?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5-year IRR ≥ 12%, EPS-accretion within 24 months, post-deal Net Debt/EBITDA &lt; 3.0×, and demonstrable strategic fit with the five pillars. We have walked away from 3 deals in FY2025 where pricing did not meet hurdles. We will continue to walk away.</w:t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10. ESG &amp; Climate Disclosures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Q43.  </w:t>
      </w:r>
      <w:r>
        <w:rPr>
          <w:rFonts w:ascii="Aptos" w:hAnsi="Aptos"/>
          <w:b/>
          <w:color w:val="1F4E79"/>
          <w:sz w:val="22"/>
        </w:rPr>
        <w:t>Are you on track for your SBTi Scope 1+2 −45% by 2030 commitment?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Currently at −18% vs FY2019 baseline. Trajectory requires step-up; the renewables portion of the MYR 2.4B energy-transition capex is the primary lever. Interim target FY2027 is −32%. We will report progress in the FY2025 Sustainability Report (publication Apr 2026).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Q44.  </w:t>
      </w:r>
      <w:r>
        <w:rPr>
          <w:rFonts w:ascii="Aptos" w:hAnsi="Aptos"/>
          <w:b/>
          <w:color w:val="1F4E79"/>
          <w:sz w:val="22"/>
        </w:rPr>
        <w:t>Sustainability-linked loan KPI — did you meet FY2024 targets?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Yes, both KPIs (Scope 1+2 reduction milestone, renewable-electricity %) were met. The 12.5 bps step-down clauses applied. FY2025 KPIs are challenging but on-track based on YTD performance.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Q45.  </w:t>
      </w:r>
      <w:r>
        <w:rPr>
          <w:rFonts w:ascii="Aptos" w:hAnsi="Aptos"/>
          <w:b/>
          <w:color w:val="1F4E79"/>
          <w:sz w:val="22"/>
        </w:rPr>
        <w:t>How exposed are you to ASEAN carbon pricing?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Modelled exposure at MYR 50/tCO2e is approximately MYR 280M annual cost (Scope 1+2). Our abatement pathway through FY2027 reduces this by ~MYR 115M. We are not lobbying against carbon pricing; we believe early implementation gives the Group competitive advantage relative to peers.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Q46.  </w:t>
      </w:r>
      <w:r>
        <w:rPr>
          <w:rFonts w:ascii="Aptos" w:hAnsi="Aptos"/>
          <w:b/>
          <w:color w:val="1F4E79"/>
          <w:sz w:val="22"/>
        </w:rPr>
        <w:t>How does the climate-linked compensation work?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15% of senior-executive PSU vesting is tied to Scope 1+2 trajectory. If the Group misses the FY2027 milestone (−32%), 15% of the granted PSUs lapse. This applies to ~120 senior leaders across the Group.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Strategy §6.2; Policy Handbook §3</w:t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11. Regulatory &amp; Leadership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Q47.  </w:t>
      </w:r>
      <w:r>
        <w:rPr>
          <w:rFonts w:ascii="Aptos" w:hAnsi="Aptos"/>
          <w:b/>
          <w:color w:val="1F4E79"/>
          <w:sz w:val="22"/>
        </w:rPr>
        <w:t>Indonesia UU PDP and Malaysia PDPA 2024 amendments — material readiness?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Group DPO appointed FY2024 (covering all jurisdictions). Mandatory breach-notification process operational. Cross-border data-transfer impact assessments completed for all material flows. Staff training rolled out FY2024 (97% completion). We do not see material residual readiness gap.</w:t>
      </w:r>
    </w:p>
    <w:p>
      <w:pPr>
        <w:spacing w:after="120"/>
        <w:ind w:left="340"/>
      </w:pPr>
      <w:r>
        <w:rPr>
          <w:rFonts w:ascii="Aptos" w:hAnsi="Aptos"/>
          <w:i/>
          <w:color w:val="595959"/>
          <w:sz w:val="16"/>
        </w:rPr>
        <w:t>Source / Reference: Policy Handbook §6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Q48.  </w:t>
      </w:r>
      <w:r>
        <w:rPr>
          <w:rFonts w:ascii="Aptos" w:hAnsi="Aptos"/>
          <w:b/>
          <w:color w:val="1F4E79"/>
          <w:sz w:val="22"/>
        </w:rPr>
        <w:t>CFO succession — any update?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No update at this time. Group CFO is in role and is leading the FY2025-2027 strategy execution. Board has identified three internal successors as part of the standard top-100 succession depth programme.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Q49.  </w:t>
      </w:r>
      <w:r>
        <w:rPr>
          <w:rFonts w:ascii="Aptos" w:hAnsi="Aptos"/>
          <w:b/>
          <w:color w:val="1F4E79"/>
          <w:sz w:val="22"/>
        </w:rPr>
        <w:t>Any AGM or EGM matters investors should be aware of?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Standard AGM Apr 2026 with usual resolutions. No EGM scheduled. Re-election of two Independent Directors will be subject to shareholder approval per the standard 9-year rule.</w:t>
      </w:r>
    </w:p>
    <w:p>
      <w:pPr>
        <w:spacing w:before="360" w:after="120"/>
      </w:pPr>
      <w:r>
        <w:rPr>
          <w:rFonts w:ascii="Aptos" w:hAnsi="Aptos"/>
          <w:b/>
          <w:color w:val="1F4E79"/>
          <w:sz w:val="40"/>
        </w:rPr>
        <w:t>12. FY2026 Guidance &amp; Outlook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Q50.  </w:t>
      </w:r>
      <w:r>
        <w:rPr>
          <w:rFonts w:ascii="Aptos" w:hAnsi="Aptos"/>
          <w:b/>
          <w:color w:val="1F4E79"/>
          <w:sz w:val="22"/>
        </w:rPr>
        <w:t>What is the FY2026 guidance?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We are guiding (i) Group revenue growth 6-8% YoY (MYR 44.9-45.8B); (ii) EBITDA recovery of 12-15% YoY (MYR 6.8-7.0B), driven by the three Red divisions returning to positive territory and the compound engines continuing to grow; (iii) FCF MYR 2.7-3.0B; (iv) Net Debt/EBITDA returning under 3.0× by end-FY2026. Guidance reflects a base-case view; downside and upside scenarios are tracked internally.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Q51.  </w:t>
      </w:r>
      <w:r>
        <w:rPr>
          <w:rFonts w:ascii="Aptos" w:hAnsi="Aptos"/>
          <w:b/>
          <w:color w:val="1F4E79"/>
          <w:sz w:val="22"/>
        </w:rPr>
        <w:t>What are the key assumptions in the FY2026 guidance?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CPO MYR 3,450 / MT; IDR/USD 16,800; Brent USD 78/bbl; ASEAN GDP growth 4.6%; benchmark rates flat from current; no major M&amp;A in the year (M-1 / M-3 closes assumed mid-year, modest H2 contribution).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Q52.  </w:t>
      </w:r>
      <w:r>
        <w:rPr>
          <w:rFonts w:ascii="Aptos" w:hAnsi="Aptos"/>
          <w:b/>
          <w:color w:val="1F4E79"/>
          <w:sz w:val="22"/>
        </w:rPr>
        <w:t>How do you bridge the FY2026 EBITDA recovery to MYR 6.8-7.0B?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Bridge components: Properties recovery +MYR 180M; Healthcare recovery +MYR 95M; Retail recovery +MYR 70M; FS growth +MYR 230M; BPO growth +MYR 300M; Pharma growth +MYR 180M; Other 4 divisions stable to slightly up; FX neutral assuming our forecast holds. Total bridge ~MYR 800M-1,000M, against the FY2025 base of MYR 6.1B → MYR 6.9-7.1B (within guided range).</w:t>
      </w:r>
    </w:p>
    <w:p>
      <w:pPr>
        <w:spacing w:before="160" w:after="40"/>
      </w:pPr>
      <w:r>
        <w:rPr>
          <w:rFonts w:ascii="Aptos" w:hAnsi="Aptos"/>
          <w:b/>
          <w:color w:val="2E75B6"/>
          <w:sz w:val="22"/>
        </w:rPr>
        <w:t xml:space="preserve">Q53.  </w:t>
      </w:r>
      <w:r>
        <w:rPr>
          <w:rFonts w:ascii="Aptos" w:hAnsi="Aptos"/>
          <w:b/>
          <w:color w:val="1F4E79"/>
          <w:sz w:val="22"/>
        </w:rPr>
        <w:t>When do you next provide an interim update?</w:t>
      </w:r>
    </w:p>
    <w:p>
      <w:pPr>
        <w:spacing w:after="40" w:line="276" w:lineRule="auto"/>
        <w:ind w:left="340"/>
      </w:pPr>
      <w:r>
        <w:rPr>
          <w:rFonts w:ascii="Aptos" w:hAnsi="Aptos"/>
          <w:b/>
          <w:color w:val="595959"/>
          <w:sz w:val="20"/>
        </w:rPr>
        <w:t xml:space="preserve">A.  </w:t>
      </w:r>
      <w:r>
        <w:rPr>
          <w:rFonts w:ascii="Aptos" w:hAnsi="Aptos"/>
          <w:sz w:val="20"/>
        </w:rPr>
        <w:t>Q1 FY2026 trading update Apr 2026; H1 FY2026 results Aug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