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Aviation — Airlines — CAAM DGCA Compliance Pack</w:t>
      </w:r>
    </w:p>
    <w:p>
      <w:r>
        <w:rPr>
          <w:i/>
        </w:rPr>
        <w:t>Document owner: Aviation — Airlines Group Office</w:t>
      </w:r>
      <w:r>
        <w:rPr>
          <w:i/>
        </w:rPr>
        <w:t xml:space="preserve"> · Version: FY2025-A</w:t>
      </w:r>
    </w:p>
    <w:p>
      <w:pPr>
        <w:pStyle w:val="Heading1"/>
      </w:pPr>
      <w:r>
        <w:t>1. Executive Summary</w:t>
      </w:r>
    </w:p>
    <w:p>
      <w:r>
        <w:t>Jet fuel hedge unwind MYR 180M + ASEAN open-skies route disruption + cabin crew dispute pre-Hari Raya — Group ExCo in 10 days.</w:t>
      </w:r>
    </w:p>
    <w:p>
      <w:r>
        <w:t>This caam dgca compliance pack is grounded on the FY2025 working dataset for Aviation — Airlines and informs the Board, the regulator, and the operating committee of the corrective actions agreed under the recovery plan.</w:t>
      </w:r>
    </w:p>
    <w:p>
      <w:pPr>
        <w:pStyle w:val="Heading1"/>
      </w:pPr>
      <w:r>
        <w:t>2. Scenario &amp; Background</w:t>
      </w:r>
    </w:p>
    <w:p>
      <w:r>
        <w:t>Zava Air is an ASEAN full-service + low-cost carrier group with hubs at KLIA (Malaysia) and CGK Jakarta (Indonesia), operating 78 narrowbody and 14 widebody aircraft across 64 destinations. Three pressures converge: (1) the jet-fuel hedge book unwinds in Q1 with a forecast MYR 180M loss as Brent backwardation pushed realised vs hedged divergence to USD 22/bbl; (2) the new ASEAN open-skies allocation has handed slots on the KUL-CGK, KUL-SIN and KUL-HKT trunk routes to AirAsia, Citilink and Scoot — yield erosion of 8-12% projected on 14 routes; (3) the cabin-crew union has tabled a dispute over rostering and Hari Raya peak pay 18 days before the festive season, creating an industrial-action risk on the 12 highest-yield days of the year. The Group MD needs an ExCo pack in 10 days covering the fuel-hedge cash burn, a network-restructuring response, a CAAM/DGCA/MAVCOM regulator pack, and the cabin-crew negotiation brief. Real customer reference frame: this group operates similarly to **AirAsia**, **Malaysia Airlines (MAS)**, **Firefly**, **Garuda Indonesia**, **Lion Air**, **Citilink**, **Batik Air**, **Super Air Jet**, and **Scoot** — with regulators including **CAAM** (Civil Aviation Authority of Malaysia), **DGCA Indonesia**, **MAVCOM** and **IATA** active concurrently.</w:t>
      </w:r>
    </w:p>
    <w:p>
      <w:r>
        <w:t>The team has triangulated Aviation — Airlines's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Aviation — Airlines as it stands on the working dataset for this caam dgca compliance pack. Reference figures and supporting tabs are stored alongside this document in the Group repository under the AVIATION-AIRLINES folder.</w:t>
      </w:r>
    </w:p>
    <w:p>
      <w:pPr>
        <w:pStyle w:val="Heading2"/>
      </w:pPr>
      <w:r>
        <w:t>3.2 Key drivers</w:t>
      </w:r>
    </w:p>
    <w:p>
      <w:r>
        <w:t>Key drivers for Aviation — Airlines as it stands on the working dataset for this caam dgca compliance pack. Reference figures and supporting tabs are stored alongside this document in the Group repository under the AVIATION-AIRLINES folder.</w:t>
      </w:r>
    </w:p>
    <w:p>
      <w:pPr>
        <w:pStyle w:val="Heading2"/>
      </w:pPr>
      <w:r>
        <w:t>3.3 Sensitivities and assumptions</w:t>
      </w:r>
    </w:p>
    <w:p>
      <w:r>
        <w:t>Sensitivities and assumptions for Aviation — Airlines as it stands on the working dataset for this caam dgca compliance pack. Reference figures and supporting tabs are stored alongside this document in the Group repository under the AVIATION-AIRLINES folder.</w:t>
      </w:r>
    </w:p>
    <w:p>
      <w:pPr>
        <w:pStyle w:val="Heading2"/>
      </w:pPr>
      <w:r>
        <w:t>3.4 Open issues and unknowns</w:t>
      </w:r>
    </w:p>
    <w:p>
      <w:r>
        <w:t>Open issues and unknowns for Aviation — Airlines as it stands on the working dataset for this caam dgca compliance pack. Reference figures and supporting tabs are stored alongside this document in the Group repository under the AVIATION-AIRLINES folder.</w:t>
      </w:r>
    </w:p>
    <w:p>
      <w:pPr>
        <w:pStyle w:val="Heading1"/>
      </w:pPr>
      <w:r>
        <w:t>4. Recommended Actions</w:t>
      </w:r>
    </w:p>
    <w:p>
      <w:pPr>
        <w:pStyle w:val="ListBullet"/>
      </w:pPr>
      <w:r>
        <w:t>Confirm the caam dgca compliance pack narrative with the Aviation — Airlines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AIR_01_Fuel_Hedge_Unwind_Model.xlsx</w:t>
      </w:r>
    </w:p>
    <w:p>
      <w:pPr>
        <w:pStyle w:val="ListBullet"/>
      </w:pPr>
      <w:r>
        <w:t>AIR_02_Route_Profitability_Tracker.xlsx</w:t>
      </w:r>
    </w:p>
    <w:p>
      <w:pPr>
        <w:pStyle w:val="ListBullet"/>
      </w:pPr>
      <w:r>
        <w:t>AIR_03_Cabin_Crew_Negotiation_Brief.docx</w:t>
      </w:r>
    </w:p>
    <w:p>
      <w:pPr>
        <w:pStyle w:val="ListBullet"/>
      </w:pPr>
      <w:r>
        <w:t>AIR_04_CAAM_DGCA_Compliance_Pack.docx</w:t>
      </w:r>
    </w:p>
    <w:p>
      <w:pPr>
        <w:pStyle w:val="ListBullet"/>
      </w:pPr>
      <w:r>
        <w:t>AIR_05_Network_Restructuring_Playbook.docx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