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Aviation — Airlines — Network Restructuring Playbook</w:t>
      </w:r>
    </w:p>
    <w:p>
      <w:r>
        <w:rPr>
          <w:i/>
        </w:rPr>
        <w:t>Document owner: Aviation — Airlines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Jet fuel hedge unwind MYR 180M + ASEAN open-skies route disruption + cabin crew dispute pre-Hari Raya — Group ExCo in 10 days.</w:t>
      </w:r>
    </w:p>
    <w:p>
      <w:r>
        <w:t>This network restructuring playbook is grounded on the FY2025 working dataset for Aviation — Airlines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Air is an ASEAN full-service + low-cost carrier group with hubs at KLIA (Malaysia) and CGK Jakarta (Indonesia), operating 78 narrowbody and 14 widebody aircraft across 64 destinations. Three pressures converge: (1) the jet-fuel hedge book unwinds in Q1 with a forecast MYR 180M loss as Brent backwardation pushed realised vs hedged divergence to USD 22/bbl; (2) the new ASEAN open-skies allocation has handed slots on the KUL-CGK, KUL-SIN and KUL-HKT trunk routes to AirAsia, Citilink and Scoot — yield erosion of 8-12% projected on 14 routes; (3) the cabin-crew union has tabled a dispute over rostering and Hari Raya peak pay 18 days before the festive season, creating an industrial-action risk on the 12 highest-yield days of the year. The Group MD needs an ExCo pack in 10 days covering the fuel-hedge cash burn, a network-restructuring response, a CAAM/DGCA/MAVCOM regulator pack, and the cabin-crew negotiation brief. Real customer reference frame: this group operates similarly to **AirAsia**, **Malaysia Airlines (MAS)**, **Firefly**, **Garuda Indonesia**, **Lion Air**, **Citilink**, **Batik Air**, **Super Air Jet**, and **Scoot** — with regulators including **CAAM** (Civil Aviation Authority of Malaysia), **DGCA Indonesia**, **MAVCOM** and **IATA** active concurrently.</w:t>
      </w:r>
    </w:p>
    <w:p>
      <w:r>
        <w:t>The team has triangulated Aviation — Airlines's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Aviation — Airlines as it stands on the working dataset for this network restructuring playbook. Reference figures and supporting tabs are stored alongside this document in the Group repository under the AVIATION-AIRLINES folder.</w:t>
      </w:r>
    </w:p>
    <w:p>
      <w:pPr>
        <w:pStyle w:val="Heading2"/>
      </w:pPr>
      <w:r>
        <w:t>3.2 Key drivers</w:t>
      </w:r>
    </w:p>
    <w:p>
      <w:r>
        <w:t>Key drivers for Aviation — Airlines as it stands on the working dataset for this network restructuring playbook. Reference figures and supporting tabs are stored alongside this document in the Group repository under the AVIATION-AIRLINES folder.</w:t>
      </w:r>
    </w:p>
    <w:p>
      <w:pPr>
        <w:pStyle w:val="Heading2"/>
      </w:pPr>
      <w:r>
        <w:t>3.3 Sensitivities and assumptions</w:t>
      </w:r>
    </w:p>
    <w:p>
      <w:r>
        <w:t>Sensitivities and assumptions for Aviation — Airlines as it stands on the working dataset for this network restructuring playbook. Reference figures and supporting tabs are stored alongside this document in the Group repository under the AVIATION-AIRLINES folder.</w:t>
      </w:r>
    </w:p>
    <w:p>
      <w:pPr>
        <w:pStyle w:val="Heading2"/>
      </w:pPr>
      <w:r>
        <w:t>3.4 Open issues and unknowns</w:t>
      </w:r>
    </w:p>
    <w:p>
      <w:r>
        <w:t>Open issues and unknowns for Aviation — Airlines as it stands on the working dataset for this network restructuring playbook. Reference figures and supporting tabs are stored alongside this document in the Group repository under the AVIATION-AIRLINES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network restructuring playbook narrative with the Aviation — Airlines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AIR_01_Fuel_Hedge_Unwind_Model.xlsx</w:t>
      </w:r>
    </w:p>
    <w:p>
      <w:pPr>
        <w:pStyle w:val="ListBullet"/>
      </w:pPr>
      <w:r>
        <w:t>AIR_02_Route_Profitability_Tracker.xlsx</w:t>
      </w:r>
    </w:p>
    <w:p>
      <w:pPr>
        <w:pStyle w:val="ListBullet"/>
      </w:pPr>
      <w:r>
        <w:t>AIR_03_Cabin_Crew_Negotiation_Brief.docx</w:t>
      </w:r>
    </w:p>
    <w:p>
      <w:pPr>
        <w:pStyle w:val="ListBullet"/>
      </w:pPr>
      <w:r>
        <w:t>AIR_04_CAAM_DGCA_Compliance_Pack.docx</w:t>
      </w:r>
    </w:p>
    <w:p>
      <w:pPr>
        <w:pStyle w:val="ListBullet"/>
      </w:pPr>
      <w:r>
        <w:t>AIR_05_Network_Restructuring_Playbook.docx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