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Automotive Distribution &amp; Dealerships — Dealer Rationalisation Playbook</w:t>
      </w:r>
    </w:p>
    <w:p>
      <w:r>
        <w:rPr>
          <w:i/>
        </w:rPr>
        <w:t>Document owner: Automotive Distribution &amp; Dealerships Group Office</w:t>
      </w:r>
      <w:r>
        <w:rPr>
          <w:i/>
        </w:rPr>
        <w:t xml:space="preserve"> · Version: FY2025-A</w:t>
      </w:r>
    </w:p>
    <w:p>
      <w:pPr>
        <w:pStyle w:val="Heading1"/>
      </w:pPr>
      <w:r>
        <w:t>1. Executive Summary</w:t>
      </w:r>
    </w:p>
    <w:p>
      <w:r>
        <w:t>Toyota EV-mix shortfall + Honda principal renegotiation + 8 underperforming dealers — Group ExCo in 14 days.</w:t>
      </w:r>
    </w:p>
    <w:p>
      <w:r>
        <w:t>This dealer rationalisation playbook is grounded on the FY2025 working dataset for Automotive Distribution &amp; Dealerships and informs the Board, the regulator, and the operating committee of the corrective actions agreed under the recovery plan.</w:t>
      </w:r>
    </w:p>
    <w:p>
      <w:pPr>
        <w:pStyle w:val="Heading1"/>
      </w:pPr>
      <w:r>
        <w:t>2. Scenario &amp; Background</w:t>
      </w:r>
    </w:p>
    <w:p>
      <w:r>
        <w:t>Zava Motors is the Group's automotive distribution and dealership platform with sole-distributor rights for Toyota and Honda passenger vehicles in Malaysia, an authorised Hyundai 3S network in Indonesia, and a newly signed BYD electrified brand partnership (BEV + PHEV). The group operates 92 sales-and-service outlets across both countries (54 in Malaysia, 38 in Indonesia), assembles select CKD models at the Pekan and Bekasi plants, and runs a captive auto-financing arm. Three converging pressures hit at once: (1) Toyota Motor Asia Pacific's 2027 BEV-mix target requires 30% electrified sales but Zava Motors is at 4.1% YTD, with FY2026 capex re-prioritisation needed across the BYD rollout vs the Honda hybrid line; (2) Honda Motor Co. has opened a principal-margin renegotiation seeking to cut ATPM/distributor margin by 150 bps, threatening MYR 84M of FY2026 EBITDA; (3) 8 of the 92 dealers are operating below break-even for 4 consecutive quarters — same-store sales down 11% YoY, F&amp;I attach rate at 38% vs a 55% benchmark. The Group MD needs a Group-ExCo-ready pack in 14 days covering EV-mix recovery scenarios, principal-renegotiation defence, dealer-rationalisation plan, and the MITI Energy-Efficient Vehicle (EEV) / Indonesian Kementerian Perindustrian PPnBM-policy briefing notes. Real customer reference frame: this group operates similarly to **UMW Holdings** (UMW Toyota Motor + Perodua), **Sime Darby Motors** (BMW/Hyundai/Ford/Porsche distribution), **DRB-HICOM** (Honda Malaysia + Proton/Geely), **Bermaz Auto** (Mazda), **MBM Resources** (Perodua dealer + Hino), **Astra International** (Toyota/Daihatsu/Isuzu/BMW + Astra Honda Motor 2-wheel), and **Indomobil Sukses Internasional** (Suzuki/Nissan/Volvo).</w:t>
      </w:r>
    </w:p>
    <w:p>
      <w:r>
        <w:t>The team has triangulated Automotive Distribution &amp; Dealerships's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Automotive Distribution &amp; Dealerships as it stands on the working dataset for this dealer rationalisation playbook. Reference figures and supporting tabs are stored alongside this document in the Group repository under the AUTOMOTIVE folder.</w:t>
      </w:r>
    </w:p>
    <w:p>
      <w:pPr>
        <w:pStyle w:val="Heading2"/>
      </w:pPr>
      <w:r>
        <w:t>3.2 Key drivers</w:t>
      </w:r>
    </w:p>
    <w:p>
      <w:r>
        <w:t>Key drivers for Automotive Distribution &amp; Dealerships as it stands on the working dataset for this dealer rationalisation playbook. Reference figures and supporting tabs are stored alongside this document in the Group repository under the AUTOMOTIVE folder.</w:t>
      </w:r>
    </w:p>
    <w:p>
      <w:pPr>
        <w:pStyle w:val="Heading2"/>
      </w:pPr>
      <w:r>
        <w:t>3.3 Sensitivities and assumptions</w:t>
      </w:r>
    </w:p>
    <w:p>
      <w:r>
        <w:t>Sensitivities and assumptions for Automotive Distribution &amp; Dealerships as it stands on the working dataset for this dealer rationalisation playbook. Reference figures and supporting tabs are stored alongside this document in the Group repository under the AUTOMOTIVE folder.</w:t>
      </w:r>
    </w:p>
    <w:p>
      <w:pPr>
        <w:pStyle w:val="Heading2"/>
      </w:pPr>
      <w:r>
        <w:t>3.4 Open issues and unknowns</w:t>
      </w:r>
    </w:p>
    <w:p>
      <w:r>
        <w:t>Open issues and unknowns for Automotive Distribution &amp; Dealerships as it stands on the working dataset for this dealer rationalisation playbook. Reference figures and supporting tabs are stored alongside this document in the Group repository under the AUTOMOTIVE folder.</w:t>
      </w:r>
    </w:p>
    <w:p>
      <w:pPr>
        <w:pStyle w:val="Heading1"/>
      </w:pPr>
      <w:r>
        <w:t>4. Recommended Actions</w:t>
      </w:r>
    </w:p>
    <w:p>
      <w:pPr>
        <w:pStyle w:val="ListBullet"/>
      </w:pPr>
      <w:r>
        <w:t>Confirm the dealer rationalisation playbook narrative with the Automotive Distribution &amp; Dealerships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AUTOM_01_EV_Mix_and_Capex_Model.xlsx</w:t>
      </w:r>
    </w:p>
    <w:p>
      <w:pPr>
        <w:pStyle w:val="ListBullet"/>
      </w:pPr>
      <w:r>
        <w:t>AUTOM_02_Dealer_PnL_Tracker.xlsx</w:t>
      </w:r>
    </w:p>
    <w:p>
      <w:pPr>
        <w:pStyle w:val="ListBullet"/>
      </w:pPr>
      <w:r>
        <w:t>AUTOM_03_Principal_Margin_Renegotiation_Brief.docx</w:t>
      </w:r>
    </w:p>
    <w:p>
      <w:pPr>
        <w:pStyle w:val="ListBullet"/>
      </w:pPr>
      <w:r>
        <w:t>AUTOM_04_MITI_EEV_BKPM_PPnBM_Briefing_Pack.docx</w:t>
      </w:r>
    </w:p>
    <w:p>
      <w:pPr>
        <w:pStyle w:val="ListBullet"/>
      </w:pPr>
      <w:r>
        <w:t>AUTOM_05_Dealer_Rationalisation_Playbook.docx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