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Auto Components &amp; Tyres — Steerco Briefing</w:t>
      </w:r>
    </w:p>
    <w:p>
      <w:r>
        <w:rPr>
          <w:i/>
        </w:rPr>
        <w:t>Document owner: Auto Components &amp; Tyres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NR raw-material spike + Toyota &amp; Hyundai contract review — Steerco in 10 days.</w:t>
      </w:r>
    </w:p>
    <w:p>
      <w:r>
        <w:t>This steerco briefing is grounded on the FY2025 working dataset for Auto Components &amp; Tyres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Auto Industries is a tier-1 ASEAN automotive component and tyre manufacturer with 6 plants in Indonesia, Malaysia and Thailand supplying Toyota, Honda, Hyundai-Kia, Mitsubishi, and Proton. Natural-rubber and synthetic-rubber prices have spiked 32% in 6 weeks driving an EBITDA gap of MYR 410M in Q4. Toyota and Hyundai are reviewing OEM supply contracts — pricing pass-through requested by both within 10 days. The Group CFO needs to model raw-material pass-through scenarios, draft OEM customer letters, brief the Group Steering Committee, and prepare the lender covenant communication. Real customer reference frame: this group operates similarly to Gajah Tunggal, Goodyear Indonesia, Sime Darby Industrial, and APM Automotive.</w:t>
      </w:r>
    </w:p>
    <w:p>
      <w:r>
        <w:t>The team has triangulated Auto Components &amp; Tyres's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Auto Components &amp; Tyres as it stands on the working dataset for this steerco briefing. Reference figures and supporting tabs are stored alongside this document in the Group repository under the AUTO-TYRES folder.</w:t>
      </w:r>
    </w:p>
    <w:p>
      <w:pPr>
        <w:pStyle w:val="Heading2"/>
      </w:pPr>
      <w:r>
        <w:t>3.2 Key drivers</w:t>
      </w:r>
    </w:p>
    <w:p>
      <w:r>
        <w:t>Key drivers for Auto Components &amp; Tyres as it stands on the working dataset for this steerco briefing. Reference figures and supporting tabs are stored alongside this document in the Group repository under the AUTO-TYRES folder.</w:t>
      </w:r>
    </w:p>
    <w:p>
      <w:pPr>
        <w:pStyle w:val="Heading2"/>
      </w:pPr>
      <w:r>
        <w:t>3.3 Sensitivities and assumptions</w:t>
      </w:r>
    </w:p>
    <w:p>
      <w:r>
        <w:t>Sensitivities and assumptions for Auto Components &amp; Tyres as it stands on the working dataset for this steerco briefing. Reference figures and supporting tabs are stored alongside this document in the Group repository under the AUTO-TYRES folder.</w:t>
      </w:r>
    </w:p>
    <w:p>
      <w:pPr>
        <w:pStyle w:val="Heading2"/>
      </w:pPr>
      <w:r>
        <w:t>3.4 Open issues and unknowns</w:t>
      </w:r>
    </w:p>
    <w:p>
      <w:r>
        <w:t>Open issues and unknowns for Auto Components &amp; Tyres as it stands on the working dataset for this steerco briefing. Reference figures and supporting tabs are stored alongside this document in the Group repository under the AUTO-TYRES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steerco briefing narrative with the Auto Components &amp; Tyres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AUTO_01_Raw_Material_Cost_Model.xlsx</w:t>
      </w:r>
    </w:p>
    <w:p>
      <w:pPr>
        <w:pStyle w:val="ListBullet"/>
      </w:pPr>
      <w:r>
        <w:t>AUTO_02_OEM_Contract_Matrix.xlsx</w:t>
      </w:r>
    </w:p>
    <w:p>
      <w:pPr>
        <w:pStyle w:val="ListBullet"/>
      </w:pPr>
      <w:r>
        <w:t>AUTO_03_OEM_Customer_Letter_Pack.docx</w:t>
      </w:r>
    </w:p>
    <w:p>
      <w:pPr>
        <w:pStyle w:val="ListBullet"/>
      </w:pPr>
      <w:r>
        <w:t>AUTO_04_Margin_Recovery_Plan.docx</w:t>
      </w:r>
    </w:p>
    <w:p>
      <w:pPr>
        <w:pStyle w:val="ListBullet"/>
      </w:pPr>
      <w:r>
        <w:t>AUTO_05_Steerco_Briefing.docx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