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Aviation - Airports — Airport Concession Policy</w:t>
      </w:r>
    </w:p>
    <w:p>
      <w:r>
        <w:rPr>
          <w:i/>
        </w:rPr>
        <w:t>Document owner: Aviation - Airports Group Office</w:t>
      </w:r>
      <w:r>
        <w:rPr>
          <w:i/>
        </w:rPr>
        <w:t xml:space="preserve"> · Version: FY2025-A</w:t>
      </w:r>
    </w:p>
    <w:p>
      <w:pPr>
        <w:pStyle w:val="Heading1"/>
      </w:pPr>
      <w:r>
        <w:t>1. Executive Summary</w:t>
      </w:r>
    </w:p>
    <w:p>
      <w:r>
        <w:t>Flagship hub at 112% capacity; ICAO and DKPPU findings open; tariff revision delayed.</w:t>
      </w:r>
    </w:p>
    <w:p>
      <w:r>
        <w:t>This airport concession policy is grounded on the FY2025 working dataset for Aviation - Airports and informs the Board, the regulator, and the operating committee of the corrective actions agreed under the recovery plan.</w:t>
      </w:r>
    </w:p>
    <w:p>
      <w:pPr>
        <w:pStyle w:val="Heading1"/>
      </w:pPr>
      <w:r>
        <w:t>2. Scenario &amp; Background</w:t>
      </w:r>
    </w:p>
    <w:p>
      <w:r>
        <w:t>Zava Airports Malaysia and Zava Airports Indonesia operate as a tier-one airport operator across 14 hubs in Malaysia and Indonesia with MYR 4.2 billion in annual revenue and roughly 9,800 direct staff. The flagship hub is running at 112% of design capacity, the aeronautical tariff revision has been delayed 18 months at Kementerian Perhubungan and is constraining FY2026 revenue planning, ICAO has issued 14 findings under the latest USOAP audit including 4 priority ones on emergency response, DKPPU has opened an airworthiness review on 2 cargo handling sub-units, slot-allocation disputes with the 3 largest low-cost carriers are escalating into formal complaints, and the terminal expansion capex programme is 24% over the original envelope. The Board capex and safety committee meets in 21 days and management must demonstrate that capacity, safety, and tariff economics are aligned before further capex tranches are released.</w:t>
      </w:r>
    </w:p>
    <w:p>
      <w:r>
        <w:t>The team has triangulated Aviation - Airports's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Aviation - Airports as it stands on the working dataset for this airport concession policy. Reference figures and supporting tabs are stored alongside this document in the Group repository under the AVIATION-AIRPORTS folder.</w:t>
      </w:r>
    </w:p>
    <w:p>
      <w:pPr>
        <w:pStyle w:val="Heading2"/>
      </w:pPr>
      <w:r>
        <w:t>3.2 Key drivers</w:t>
      </w:r>
    </w:p>
    <w:p>
      <w:r>
        <w:t>Key drivers for Aviation - Airports as it stands on the working dataset for this airport concession policy. Reference figures and supporting tabs are stored alongside this document in the Group repository under the AVIATION-AIRPORTS folder.</w:t>
      </w:r>
    </w:p>
    <w:p>
      <w:pPr>
        <w:pStyle w:val="Heading2"/>
      </w:pPr>
      <w:r>
        <w:t>3.3 Sensitivities and assumptions</w:t>
      </w:r>
    </w:p>
    <w:p>
      <w:r>
        <w:t>Sensitivities and assumptions for Aviation - Airports as it stands on the working dataset for this airport concession policy. Reference figures and supporting tabs are stored alongside this document in the Group repository under the AVIATION-AIRPORTS folder.</w:t>
      </w:r>
    </w:p>
    <w:p>
      <w:pPr>
        <w:pStyle w:val="Heading2"/>
      </w:pPr>
      <w:r>
        <w:t>3.4 Open issues and unknowns</w:t>
      </w:r>
    </w:p>
    <w:p>
      <w:r>
        <w:t>Open issues and unknowns for Aviation - Airports as it stands on the working dataset for this airport concession policy. Reference figures and supporting tabs are stored alongside this document in the Group repository under the AVIATION-AIRPORTS folder.</w:t>
      </w:r>
    </w:p>
    <w:p>
      <w:pPr>
        <w:pStyle w:val="Heading1"/>
      </w:pPr>
      <w:r>
        <w:t>4. Recommended Actions</w:t>
      </w:r>
    </w:p>
    <w:p>
      <w:pPr>
        <w:pStyle w:val="ListBullet"/>
      </w:pPr>
      <w:r>
        <w:t>Confirm the airport concession policy narrative with the Aviation - Airports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AVN_01_Airport_Operations.xlsx</w:t>
      </w:r>
    </w:p>
    <w:p>
      <w:pPr>
        <w:pStyle w:val="ListBullet"/>
      </w:pPr>
      <w:r>
        <w:t>AVN_02_Airport_Concession_Policy.docx</w:t>
      </w:r>
    </w:p>
    <w:p>
      <w:pPr>
        <w:pStyle w:val="ListBullet"/>
      </w:pPr>
      <w:r>
        <w:t>AVN_03_Emergency_Response_Plan.docx</w:t>
      </w:r>
    </w:p>
    <w:p>
      <w:pPr>
        <w:pStyle w:val="ListBullet"/>
      </w:pPr>
      <w:r>
        <w:t>AVN_04_Aeronautical_Tariff_Model.xlsx</w:t>
      </w:r>
    </w:p>
    <w:p>
      <w:pPr>
        <w:pStyle w:val="ListBullet"/>
      </w:pPr>
      <w:r>
        <w:t>AVN_05_Slot_Allocation_Tracker.xlsx</w:t>
      </w:r>
    </w:p>
    <w:p>
      <w:pPr>
        <w:pStyle w:val="ListBullet"/>
      </w:pPr>
      <w:r>
        <w:t>AVN_06_Capex_Plan.docx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