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Commercial Banking — Investor QA Pack</w:t>
      </w:r>
    </w:p>
    <w:p>
      <w:r>
        <w:rPr>
          <w:i/>
        </w:rPr>
        <w:t>Document owner: Commercial Banking Group Office</w:t>
      </w:r>
      <w:r>
        <w:rPr>
          <w:i/>
        </w:rPr>
        <w:t xml:space="preserve"> · Version: FY2025-A</w:t>
      </w:r>
    </w:p>
    <w:p>
      <w:pPr>
        <w:pStyle w:val="Heading1"/>
      </w:pPr>
      <w:r>
        <w:t>1. Executive Summary</w:t>
      </w:r>
    </w:p>
    <w:p>
      <w:r>
        <w:t>Gross impaired loans at 6.8% and provision coverage at 71% ahead of a BNM bilateral review.</w:t>
      </w:r>
    </w:p>
    <w:p>
      <w:r>
        <w:t>This investor qa pack is grounded on the FY2025 working dataset for Commercial Banking and informs the Board, the regulator, and the operating committee of the corrective actions agreed under the recovery plan.</w:t>
      </w:r>
    </w:p>
    <w:p>
      <w:pPr>
        <w:pStyle w:val="Heading1"/>
      </w:pPr>
      <w:r>
        <w:t>2. Scenario &amp; Background</w:t>
      </w:r>
    </w:p>
    <w:p>
      <w:r>
        <w:t>Zava Bank Malaysia is a mid-tier Malaysian commercial bank listed on Bursa Malaysia with about 7,200 employees, 138 branches, and MYR 74.6B in gross loans across Corporate Banking, SME, Consumer, Treasury, and Special Assets divisions. Over the last four quarters, gross impaired loans have climbed from 4.1% to 6.8%, driven by stress in construction-linked SMEs, used-car financing, and several leveraged transport accounts, while Stage 2 balances have expanded to MYR 8.9B. Provision coverage is now 71% against an internal floor of 80%, CET1 has narrowed to 13.1%, and 19 borrower facilities on the Covenant Monitor are already in waiver or breach discussions. The Credit Rating Watch tab shows 27 obligors downgraded in the last 90 days, including 6 names that contribute more than MYR 420M of exposure. BNM has scheduled a bilateral asset-quality review in five days and wants a defensible narrative on underwriting discipline, restructuring activity, and management overlays. The Investor Relations team is also preparing Bursa-sensitive messaging because wholesale funding counterparties have started asking whether FY2026 guidance still assumes normalised credit costs.</w:t>
      </w:r>
    </w:p>
    <w:p>
      <w:r>
        <w:t>The team has triangulated Commercial Banking's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Commercial Banking as it stands on the working dataset for this investor qa pack. Reference figures and supporting tabs are stored alongside this document in the Group repository under the COMMERCIAL-BANKING folder.</w:t>
      </w:r>
    </w:p>
    <w:p>
      <w:pPr>
        <w:pStyle w:val="Heading2"/>
      </w:pPr>
      <w:r>
        <w:t>3.2 Key drivers</w:t>
      </w:r>
    </w:p>
    <w:p>
      <w:r>
        <w:t>Key drivers for Commercial Banking as it stands on the working dataset for this investor qa pack. Reference figures and supporting tabs are stored alongside this document in the Group repository under the COMMERCIAL-BANKING folder.</w:t>
      </w:r>
    </w:p>
    <w:p>
      <w:pPr>
        <w:pStyle w:val="Heading2"/>
      </w:pPr>
      <w:r>
        <w:t>3.3 Sensitivities and assumptions</w:t>
      </w:r>
    </w:p>
    <w:p>
      <w:r>
        <w:t>Sensitivities and assumptions for Commercial Banking as it stands on the working dataset for this investor qa pack. Reference figures and supporting tabs are stored alongside this document in the Group repository under the COMMERCIAL-BANKING folder.</w:t>
      </w:r>
    </w:p>
    <w:p>
      <w:pPr>
        <w:pStyle w:val="Heading2"/>
      </w:pPr>
      <w:r>
        <w:t>3.4 Open issues and unknowns</w:t>
      </w:r>
    </w:p>
    <w:p>
      <w:r>
        <w:t>Open issues and unknowns for Commercial Banking as it stands on the working dataset for this investor qa pack. Reference figures and supporting tabs are stored alongside this document in the Group repository under the COMMERCIAL-BANKING folder.</w:t>
      </w:r>
    </w:p>
    <w:p>
      <w:pPr>
        <w:pStyle w:val="Heading1"/>
      </w:pPr>
      <w:r>
        <w:t>4. Recommended Actions</w:t>
      </w:r>
    </w:p>
    <w:p>
      <w:pPr>
        <w:pStyle w:val="ListBullet"/>
      </w:pPr>
      <w:r>
        <w:t>Confirm the investor qa pack narrative with the Commercial Banking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BNK_01_Group_Loan_Portfolio.xlsx</w:t>
      </w:r>
    </w:p>
    <w:p>
      <w:pPr>
        <w:pStyle w:val="ListBullet"/>
      </w:pPr>
      <w:r>
        <w:t>BNK_02_Regulatory_Reporting_Pack.docx</w:t>
      </w:r>
    </w:p>
    <w:p>
      <w:pPr>
        <w:pStyle w:val="ListBullet"/>
      </w:pPr>
      <w:r>
        <w:t>BNK_03_Credit_Risk_Policy.docx</w:t>
      </w:r>
    </w:p>
    <w:p>
      <w:pPr>
        <w:pStyle w:val="ListBullet"/>
      </w:pPr>
      <w:r>
        <w:t>BNK_04_NPL_Recovery_Tracker.xlsx</w:t>
      </w:r>
    </w:p>
    <w:p>
      <w:pPr>
        <w:pStyle w:val="ListBullet"/>
      </w:pPr>
      <w:r>
        <w:t>BNK_05_Capital_Adequacy_Report.xlsx</w:t>
      </w:r>
    </w:p>
    <w:p>
      <w:pPr>
        <w:pStyle w:val="ListBullet"/>
      </w:pPr>
      <w:r>
        <w:t>BNK_06_Investor_QA_Pack.docx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