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BPO Services — Client Service Agreement</w:t>
      </w:r>
    </w:p>
    <w:p>
      <w:r>
        <w:rPr>
          <w:i/>
        </w:rPr>
        <w:t>Document owner: BPO Services Group Office</w:t>
      </w:r>
      <w:r>
        <w:rPr>
          <w:i/>
        </w:rPr>
        <w:t xml:space="preserve"> · Version: FY2025-A</w:t>
      </w:r>
    </w:p>
    <w:p>
      <w:pPr>
        <w:pStyle w:val="Heading1"/>
      </w:pPr>
      <w:r>
        <w:t>1. Executive Summary</w:t>
      </w:r>
    </w:p>
    <w:p>
      <w:r>
        <w:t>Attrition 38%, 4 of top 6 anchor clients amber, IDR 980B in renewals — Komite Eksekutif in 5 days.</w:t>
      </w:r>
    </w:p>
    <w:p>
      <w:r>
        <w:t>This client service agreement is grounded on the FY2025 working dataset for BPO Services and informs the Board, the regulator, and the operating committee of the corrective actions agreed under the recovery plan.</w:t>
      </w:r>
    </w:p>
    <w:p>
      <w:pPr>
        <w:pStyle w:val="Heading1"/>
      </w:pPr>
      <w:r>
        <w:t>2. Scenario &amp; Background</w:t>
      </w:r>
    </w:p>
    <w:p>
      <w:r>
        <w:t>Zava BPO Indonesia runs 9 multilingual delivery centres across Jakarta, Bandung, Cebu, and Kuala Lumpur with 11,200 seats serving banking, insurance, and consumer clients. The group also operates two adjacent professional-services lines: a managed-staffing and contract-recruitment desk operating similarly to **PersolKelly Indonesia** (1,400 placed contractors across MY/ID), and a co-sourced legal &amp; compliance advisory team operating similarly to **Crowe Malaysia** and **Crowe Indonesia** that supports anchor BPO clients on AML, UU PDP, and BNM PSA matters. Annualised attrition has climbed to 38%, the SLA Dashboard shows 4 of the top 6 anchor clients in amber, and 2 contracts worth IDR 980 billion are scheduled for renewal in 12 weeks. Kemnaker has asked for a written response on overtime practices, BSSN has flagged a near-miss data incident at the Bandung site, and the UU PDP audit cycle starts next month. The CEO needs an integrated recovery and renewal pack for the Komite Eksekutif in 5 days — covering BPO operations, staffing-desk margin, and the legal/compliance advisory line.</w:t>
      </w:r>
    </w:p>
    <w:p>
      <w:r>
        <w:t>The team has triangulated BPO Services's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BPO Services as it stands on the working dataset for this client service agreement. Reference figures and supporting tabs are stored alongside this document in the Group repository under the BPO-SERVICES folder.</w:t>
      </w:r>
    </w:p>
    <w:p>
      <w:pPr>
        <w:pStyle w:val="Heading2"/>
      </w:pPr>
      <w:r>
        <w:t>3.2 Key drivers</w:t>
      </w:r>
    </w:p>
    <w:p>
      <w:r>
        <w:t>Key drivers for BPO Services as it stands on the working dataset for this client service agreement. Reference figures and supporting tabs are stored alongside this document in the Group repository under the BPO-SERVICES folder.</w:t>
      </w:r>
    </w:p>
    <w:p>
      <w:pPr>
        <w:pStyle w:val="Heading2"/>
      </w:pPr>
      <w:r>
        <w:t>3.3 Sensitivities and assumptions</w:t>
      </w:r>
    </w:p>
    <w:p>
      <w:r>
        <w:t>Sensitivities and assumptions for BPO Services as it stands on the working dataset for this client service agreement. Reference figures and supporting tabs are stored alongside this document in the Group repository under the BPO-SERVICES folder.</w:t>
      </w:r>
    </w:p>
    <w:p>
      <w:pPr>
        <w:pStyle w:val="Heading2"/>
      </w:pPr>
      <w:r>
        <w:t>3.4 Open issues and unknowns</w:t>
      </w:r>
    </w:p>
    <w:p>
      <w:r>
        <w:t>Open issues and unknowns for BPO Services as it stands on the working dataset for this client service agreement. Reference figures and supporting tabs are stored alongside this document in the Group repository under the BPO-SERVICES folder.</w:t>
      </w:r>
    </w:p>
    <w:p>
      <w:pPr>
        <w:pStyle w:val="Heading1"/>
      </w:pPr>
      <w:r>
        <w:t>4. Recommended Actions</w:t>
      </w:r>
    </w:p>
    <w:p>
      <w:pPr>
        <w:pStyle w:val="ListBullet"/>
      </w:pPr>
      <w:r>
        <w:t>Confirm the client service agreement narrative with the BPO Services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BPO_01_Service_Delivery.xlsx</w:t>
      </w:r>
    </w:p>
    <w:p>
      <w:pPr>
        <w:pStyle w:val="ListBullet"/>
      </w:pPr>
      <w:r>
        <w:t>BPO_02_Client_Service_Agreement.docx</w:t>
      </w:r>
    </w:p>
    <w:p>
      <w:pPr>
        <w:pStyle w:val="ListBullet"/>
      </w:pPr>
      <w:r>
        <w:t>BPO_03_Quality_Management_Framework.docx</w:t>
      </w:r>
    </w:p>
    <w:p>
      <w:pPr>
        <w:pStyle w:val="ListBullet"/>
      </w:pPr>
      <w:r>
        <w:t>BPO_04_Workforce_Plan.xlsx</w:t>
      </w:r>
    </w:p>
    <w:p>
      <w:pPr>
        <w:pStyle w:val="ListBullet"/>
      </w:pPr>
      <w:r>
        <w:t>BPO_05_Cyber_Compliance_Pack.docx</w:t>
      </w:r>
    </w:p>
    <w:p>
      <w:pPr>
        <w:pStyle w:val="ListBullet"/>
      </w:pPr>
      <w:r>
        <w:t>BPO_06_Renewal_Pipeline.xlsx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