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📜 Corporate Secretarial — Governance Manual</w:t>
      </w:r>
    </w:p>
    <w:p>
      <w:r>
        <w:rPr>
          <w:i/>
        </w:rPr>
        <w:t>Document owner: 📜 Corporate Secretarial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Board papers are late, disclosure-watchlist items are growing, and directors want clearer resolution tracking before quarter-end.</w:t>
      </w:r>
    </w:p>
    <w:p>
      <w:r>
        <w:t>This governance manual is grounded on the FY2025 working dataset for 📜 Corporate Secretarial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The Board &amp; Executive Office at Zava Group is trying to improve paper quality, decision tracking, and governance visibility before the quarter-end meeting cycle. Across the last 4 Board meetings, 38% of papers arrived less than 48 hours before the meeting, the Resolution Log shows 17 open items overdue by more than 30 days, and 6 disclosure-watchlist items are now flagged Amber or Red. Directors are frustrated that resolutions are not always easy to trace back to owners and deadlines. The Company Secretary needs a more disciplined operating rhythm with a clear RAG view of disclosure and governance risks within two weeks, ahead of the next Board of Directors meeting where the Chairman will examine cross-listing readiness with IDX.</w:t>
      </w:r>
    </w:p>
    <w:p>
      <w:r>
        <w:t>The team has triangulated 📜 Corporate Secretarial's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📜 Corporate Secretarial as it stands on the working dataset for this governance manual. Reference figures and supporting tabs are stored alongside this document in the Group repository under the DEPT-CORPSEC folder.</w:t>
      </w:r>
    </w:p>
    <w:p>
      <w:pPr>
        <w:pStyle w:val="Heading2"/>
      </w:pPr>
      <w:r>
        <w:t>3.2 Key drivers</w:t>
      </w:r>
    </w:p>
    <w:p>
      <w:r>
        <w:t>Key drivers for 📜 Corporate Secretarial as it stands on the working dataset for this governance manual. Reference figures and supporting tabs are stored alongside this document in the Group repository under the DEPT-CORPSEC folder.</w:t>
      </w:r>
    </w:p>
    <w:p>
      <w:pPr>
        <w:pStyle w:val="Heading2"/>
      </w:pPr>
      <w:r>
        <w:t>3.3 Sensitivities and assumptions</w:t>
      </w:r>
    </w:p>
    <w:p>
      <w:r>
        <w:t>Sensitivities and assumptions for 📜 Corporate Secretarial as it stands on the working dataset for this governance manual. Reference figures and supporting tabs are stored alongside this document in the Group repository under the DEPT-CORPSEC folder.</w:t>
      </w:r>
    </w:p>
    <w:p>
      <w:pPr>
        <w:pStyle w:val="Heading2"/>
      </w:pPr>
      <w:r>
        <w:t>3.4 Open issues and unknowns</w:t>
      </w:r>
    </w:p>
    <w:p>
      <w:r>
        <w:t>Open issues and unknowns for 📜 Corporate Secretarial as it stands on the working dataset for this governance manual. Reference figures and supporting tabs are stored alongside this document in the Group repository under the DEPT-CORPSEC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governance manual narrative with the 📜 Corporate Secretarial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BRD_01_Board_Pack_Tracker.xlsx</w:t>
      </w:r>
    </w:p>
    <w:p>
      <w:pPr>
        <w:pStyle w:val="ListBullet"/>
      </w:pPr>
      <w:r>
        <w:t>BRD_02_Resolution_Log.xlsx</w:t>
      </w:r>
    </w:p>
    <w:p>
      <w:pPr>
        <w:pStyle w:val="ListBullet"/>
      </w:pPr>
      <w:r>
        <w:t>BRD_03_Governance_Manual.docx</w:t>
      </w:r>
    </w:p>
    <w:p>
      <w:pPr>
        <w:pStyle w:val="ListBullet"/>
      </w:pPr>
      <w:r>
        <w:t>BRD_04_Board_Paper_Standards.docx</w:t>
      </w:r>
    </w:p>
    <w:p>
      <w:pPr>
        <w:pStyle w:val="ListBullet"/>
      </w:pPr>
      <w:r>
        <w:t>BRD_05_Disclosure_Watchlist.docx</w:t>
      </w:r>
    </w:p>
    <w:p>
      <w:pPr>
        <w:pStyle w:val="ListBullet"/>
      </w:pPr>
      <w:r>
        <w:t>BRD_06_Director_Onboarding_Brief.docx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