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Corporate Secretarial — Board Paper Standards</w:t>
      </w:r>
    </w:p>
    <w:p>
      <w:r>
        <w:rPr>
          <w:i/>
        </w:rPr>
        <w:t>Document owner: 📜 Corporate Secretarial Group Office</w:t>
      </w:r>
      <w:r>
        <w:rPr>
          <w:i/>
        </w:rPr>
        <w:t xml:space="preserve"> · Version: FY2025-A</w:t>
      </w:r>
    </w:p>
    <w:p>
      <w:pPr>
        <w:pStyle w:val="Heading1"/>
      </w:pPr>
      <w:r>
        <w:t>1. Executive Summary</w:t>
      </w:r>
    </w:p>
    <w:p>
      <w:r>
        <w:t>Board papers are late, disclosure-watchlist items are growing, and directors want clearer resolution tracking before quarter-end.</w:t>
      </w:r>
    </w:p>
    <w:p>
      <w:r>
        <w:t>This board paper standards is grounded on the FY2025 working dataset for 📜 Corporate Secretarial and informs the Board, the regulator, and the operating committee of the corrective actions agreed under the recovery plan.</w:t>
      </w:r>
    </w:p>
    <w:p>
      <w:pPr>
        <w:pStyle w:val="Heading1"/>
      </w:pPr>
      <w:r>
        <w:t>2. Scenario &amp; Background</w:t>
      </w:r>
    </w:p>
    <w:p>
      <w:r>
        <w:t>The Board &amp; Executive Office at Zava Group is trying to improve paper quality, decision tracking, and governance visibility before the quarter-end meeting cycle. Across the last 4 Board meetings, 38% of papers arrived less than 48 hours before the meeting, the Resolution Log shows 17 open items overdue by more than 30 days, and 6 disclosure-watchlist items are now flagged Amber or Red. Directors are frustrated that resolutions are not always easy to trace back to owners and deadlines. The Company Secretary needs a more disciplined operating rhythm with a clear RAG view of disclosure and governance risks within two weeks, ahead of the next Board of Directors meeting where the Chairman will examine cross-listing readiness with IDX.</w:t>
      </w:r>
    </w:p>
    <w:p>
      <w:r>
        <w:t>The team has triangulated 📜 Corporate Secretarial's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Corporate Secretarial as it stands on the working dataset for this board paper standards. Reference figures and supporting tabs are stored alongside this document in the Group repository under the DEPT-CORPSEC folder.</w:t>
      </w:r>
    </w:p>
    <w:p>
      <w:pPr>
        <w:pStyle w:val="Heading2"/>
      </w:pPr>
      <w:r>
        <w:t>3.2 Key drivers</w:t>
      </w:r>
    </w:p>
    <w:p>
      <w:r>
        <w:t>Key drivers for 📜 Corporate Secretarial as it stands on the working dataset for this board paper standards. Reference figures and supporting tabs are stored alongside this document in the Group repository under the DEPT-CORPSEC folder.</w:t>
      </w:r>
    </w:p>
    <w:p>
      <w:pPr>
        <w:pStyle w:val="Heading2"/>
      </w:pPr>
      <w:r>
        <w:t>3.3 Sensitivities and assumptions</w:t>
      </w:r>
    </w:p>
    <w:p>
      <w:r>
        <w:t>Sensitivities and assumptions for 📜 Corporate Secretarial as it stands on the working dataset for this board paper standards. Reference figures and supporting tabs are stored alongside this document in the Group repository under the DEPT-CORPSEC folder.</w:t>
      </w:r>
    </w:p>
    <w:p>
      <w:pPr>
        <w:pStyle w:val="Heading2"/>
      </w:pPr>
      <w:r>
        <w:t>3.4 Open issues and unknowns</w:t>
      </w:r>
    </w:p>
    <w:p>
      <w:r>
        <w:t>Open issues and unknowns for 📜 Corporate Secretarial as it stands on the working dataset for this board paper standards. Reference figures and supporting tabs are stored alongside this document in the Group repository under the DEPT-CORPSEC folder.</w:t>
      </w:r>
    </w:p>
    <w:p>
      <w:pPr>
        <w:pStyle w:val="Heading1"/>
      </w:pPr>
      <w:r>
        <w:t>4. Recommended Actions</w:t>
      </w:r>
    </w:p>
    <w:p>
      <w:pPr>
        <w:pStyle w:val="ListBullet"/>
      </w:pPr>
      <w:r>
        <w:t>Confirm the board paper standards narrative with the 📜 Corporate Secretarial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BRD_01_Board_Pack_Tracker.xlsx</w:t>
      </w:r>
    </w:p>
    <w:p>
      <w:pPr>
        <w:pStyle w:val="ListBullet"/>
      </w:pPr>
      <w:r>
        <w:t>BRD_02_Resolution_Log.xlsx</w:t>
      </w:r>
    </w:p>
    <w:p>
      <w:pPr>
        <w:pStyle w:val="ListBullet"/>
      </w:pPr>
      <w:r>
        <w:t>BRD_03_Governance_Manual.docx</w:t>
      </w:r>
    </w:p>
    <w:p>
      <w:pPr>
        <w:pStyle w:val="ListBullet"/>
      </w:pPr>
      <w:r>
        <w:t>BRD_04_Board_Paper_Standards.docx</w:t>
      </w:r>
    </w:p>
    <w:p>
      <w:pPr>
        <w:pStyle w:val="ListBullet"/>
      </w:pPr>
      <w:r>
        <w:t>BRD_05_Disclosure_Watchlist.docx</w:t>
      </w:r>
    </w:p>
    <w:p>
      <w:pPr>
        <w:pStyle w:val="ListBullet"/>
      </w:pPr>
      <w:r>
        <w:t>BRD_06_Director_Onboarding_Brief.docx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