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Coal Mining — Environmental Management Plan</w:t>
      </w:r>
    </w:p>
    <w:p>
      <w:r>
        <w:rPr>
          <w:i/>
        </w:rPr>
        <w:t>Document owner: Coal Mining Group Office</w:t>
      </w:r>
      <w:r>
        <w:rPr>
          <w:i/>
        </w:rPr>
        <w:t xml:space="preserve"> · Version: FY2025-A</w:t>
      </w:r>
    </w:p>
    <w:p>
      <w:pPr>
        <w:pStyle w:val="Heading1"/>
      </w:pPr>
      <w:r>
        <w:t>1. Executive Summary</w:t>
      </w:r>
    </w:p>
    <w:p>
      <w:r>
        <w:t>Newcastle index slips, ESDM royalty audit lands, and a community grievance threatens the September shipment plan.</w:t>
      </w:r>
    </w:p>
    <w:p>
      <w:r>
        <w:t>This environmental management plan is grounded on the FY2025 working dataset for Coal Mining and informs the Board, the regulator, and the operating committee of the corrective actions agreed under the recovery plan.</w:t>
      </w:r>
    </w:p>
    <w:p>
      <w:pPr>
        <w:pStyle w:val="Heading1"/>
      </w:pPr>
      <w:r>
        <w:t>2. Scenario &amp; Background</w:t>
      </w:r>
    </w:p>
    <w:p>
      <w:r>
        <w:t>Zava Mining Malaysia is a Malaysian-listed coal mining group with operating mines in East Kalimantan and South Sumatra producing 18 million tonnes per annum, three barging operations, two coal terminals, and 11 long-term offtake contracts covering Asian utilities. Newcastle thermal coal index fell 14% in the last quarter, two mines are running 9-12% below mine-plan strip ratio, royalty (PNBP) and IUP compliance correspondence with Kementerian ESDM has accelerated, KLHK has flagged a reclamation milestone slip on one of the East Kalimantan mines, and a community grievance at the South Sumatra haul-road has triggered a NGO advocacy campaign. September shipment commitments are at risk, two utility offtakers have requested re-pricing discussions, and Bursa Malaysia has asked for a clarification on disclosure timing. The Group MD walks into a Board sustainability and operations review in 7 days. The MD needs a defensible operations and ESG briefing pack, mine-by-mine variance analysis, regulator and offtaker holding lines, community remediation plan, and a 90-day production and sustainability stabilisation programme.</w:t>
      </w:r>
    </w:p>
    <w:p>
      <w:r>
        <w:t>The team has triangulated Coal Mining's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Coal Mining as it stands on the working dataset for this environmental management plan. Reference figures and supporting tabs are stored alongside this document in the Group repository under the COAL-MINING folder.</w:t>
      </w:r>
    </w:p>
    <w:p>
      <w:pPr>
        <w:pStyle w:val="Heading2"/>
      </w:pPr>
      <w:r>
        <w:t>3.2 Key drivers</w:t>
      </w:r>
    </w:p>
    <w:p>
      <w:r>
        <w:t>Key drivers for Coal Mining as it stands on the working dataset for this environmental management plan. Reference figures and supporting tabs are stored alongside this document in the Group repository under the COAL-MINING folder.</w:t>
      </w:r>
    </w:p>
    <w:p>
      <w:pPr>
        <w:pStyle w:val="Heading2"/>
      </w:pPr>
      <w:r>
        <w:t>3.3 Sensitivities and assumptions</w:t>
      </w:r>
    </w:p>
    <w:p>
      <w:r>
        <w:t>Sensitivities and assumptions for Coal Mining as it stands on the working dataset for this environmental management plan. Reference figures and supporting tabs are stored alongside this document in the Group repository under the COAL-MINING folder.</w:t>
      </w:r>
    </w:p>
    <w:p>
      <w:pPr>
        <w:pStyle w:val="Heading2"/>
      </w:pPr>
      <w:r>
        <w:t>3.4 Open issues and unknowns</w:t>
      </w:r>
    </w:p>
    <w:p>
      <w:r>
        <w:t>Open issues and unknowns for Coal Mining as it stands on the working dataset for this environmental management plan. Reference figures and supporting tabs are stored alongside this document in the Group repository under the COAL-MINING folder.</w:t>
      </w:r>
    </w:p>
    <w:p>
      <w:pPr>
        <w:pStyle w:val="Heading1"/>
      </w:pPr>
      <w:r>
        <w:t>4. Recommended Actions</w:t>
      </w:r>
    </w:p>
    <w:p>
      <w:pPr>
        <w:pStyle w:val="ListBullet"/>
      </w:pPr>
      <w:r>
        <w:t>Confirm the environmental management plan narrative with the Coal Mining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COAL_01_Mining_Operations.xlsx</w:t>
      </w:r>
    </w:p>
    <w:p>
      <w:pPr>
        <w:pStyle w:val="ListBullet"/>
      </w:pPr>
      <w:r>
        <w:t>COAL_02_Mine_Safety_Manual.docx</w:t>
      </w:r>
    </w:p>
    <w:p>
      <w:pPr>
        <w:pStyle w:val="ListBullet"/>
      </w:pPr>
      <w:r>
        <w:t>COAL_03_Environmental_Management_Plan.docx</w:t>
      </w:r>
    </w:p>
    <w:p>
      <w:pPr>
        <w:pStyle w:val="ListBullet"/>
      </w:pPr>
      <w:r>
        <w:t>COAL_04_Royalty_PNBP_Schedule.xlsx</w:t>
      </w:r>
    </w:p>
    <w:p>
      <w:pPr>
        <w:pStyle w:val="ListBullet"/>
      </w:pPr>
      <w:r>
        <w:t>COAL_05_Marketing_Pricing_Pack.xlsx</w:t>
      </w:r>
    </w:p>
    <w:p>
      <w:pPr>
        <w:pStyle w:val="ListBullet"/>
      </w:pPr>
      <w:r>
        <w:t>COAL_06_Stakeholder_Holding_Lines.docx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