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Construction — Project Management Manual</w:t>
      </w:r>
    </w:p>
    <w:p>
      <w:r>
        <w:rPr>
          <w:i/>
        </w:rPr>
        <w:t>Document owner: Construction Group Office</w:t>
      </w:r>
      <w:r>
        <w:rPr>
          <w:i/>
        </w:rPr>
        <w:t xml:space="preserve"> · Version: FY2025-A</w:t>
      </w:r>
    </w:p>
    <w:p>
      <w:pPr>
        <w:pStyle w:val="Heading1"/>
      </w:pPr>
      <w:r>
        <w:t>1. Executive Summary</w:t>
      </w:r>
    </w:p>
    <w:p>
      <w:r>
        <w:t>Three flagship projects slipping; HSE incidents rising; LPJK and PUPR reviews due.</w:t>
      </w:r>
    </w:p>
    <w:p>
      <w:r>
        <w:t>This project management manual is grounded on the FY2025 working dataset for Construction and informs the Board, the regulator, and the operating committee of the corrective actions agreed under the recovery plan.</w:t>
      </w:r>
    </w:p>
    <w:p>
      <w:pPr>
        <w:pStyle w:val="Heading1"/>
      </w:pPr>
      <w:r>
        <w:t>2. Scenario &amp; Background</w:t>
      </w:r>
    </w:p>
    <w:p>
      <w:r>
        <w:t>Zava Construction Malaysia and Zava Construction Indonesia operate as a tier-one EPC contractor across Malaysia and Indonesia (operating similarly to **Gamuda Berhad**, **MRCB Construction**, IJM Corporation, Sunway Construction, and WIKA on the Indonesian side) with MYR 5.8 billion in annual revenue and roughly 14,200 direct and subcontracted staff. Three flagship infrastructure projects are 14 weeks behind plan, the consolidated variation order book has grown 38% in 6 months, HSE incidents are up 22% year-on-year, LPJK is reviewing two of the company's SBU certifications, Kementerian PUPR has opened a delay review on a federal road package, and the working-capital cushion has compressed by MYR 220 million on extended subcontractor payment cycles. The Board project committee meets in 21 days and management must demonstrate that schedule, safety, and cash discipline are aligned before further mobilisation is approved.</w:t>
      </w:r>
    </w:p>
    <w:p>
      <w:r>
        <w:t>The team has triangulated Construction's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Construction as it stands on the working dataset for this project management manual. Reference figures and supporting tabs are stored alongside this document in the Group repository under the CONSTRUCTION folder.</w:t>
      </w:r>
    </w:p>
    <w:p>
      <w:pPr>
        <w:pStyle w:val="Heading2"/>
      </w:pPr>
      <w:r>
        <w:t>3.2 Key drivers</w:t>
      </w:r>
    </w:p>
    <w:p>
      <w:r>
        <w:t>Key drivers for Construction as it stands on the working dataset for this project management manual. Reference figures and supporting tabs are stored alongside this document in the Group repository under the CONSTRUCTION folder.</w:t>
      </w:r>
    </w:p>
    <w:p>
      <w:pPr>
        <w:pStyle w:val="Heading2"/>
      </w:pPr>
      <w:r>
        <w:t>3.3 Sensitivities and assumptions</w:t>
      </w:r>
    </w:p>
    <w:p>
      <w:r>
        <w:t>Sensitivities and assumptions for Construction as it stands on the working dataset for this project management manual. Reference figures and supporting tabs are stored alongside this document in the Group repository under the CONSTRUCTION folder.</w:t>
      </w:r>
    </w:p>
    <w:p>
      <w:pPr>
        <w:pStyle w:val="Heading2"/>
      </w:pPr>
      <w:r>
        <w:t>3.4 Open issues and unknowns</w:t>
      </w:r>
    </w:p>
    <w:p>
      <w:r>
        <w:t>Open issues and unknowns for Construction as it stands on the working dataset for this project management manual. Reference figures and supporting tabs are stored alongside this document in the Group repository under the CONSTRUCTION folder.</w:t>
      </w:r>
    </w:p>
    <w:p>
      <w:pPr>
        <w:pStyle w:val="Heading1"/>
      </w:pPr>
      <w:r>
        <w:t>4. Recommended Actions</w:t>
      </w:r>
    </w:p>
    <w:p>
      <w:pPr>
        <w:pStyle w:val="ListBullet"/>
      </w:pPr>
      <w:r>
        <w:t>Confirm the project management manual narrative with the Construction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CON_01_Project_Portfolio.xlsx</w:t>
      </w:r>
    </w:p>
    <w:p>
      <w:pPr>
        <w:pStyle w:val="ListBullet"/>
      </w:pPr>
      <w:r>
        <w:t>CON_02_Project_Management_Manual.docx</w:t>
      </w:r>
    </w:p>
    <w:p>
      <w:pPr>
        <w:pStyle w:val="ListBullet"/>
      </w:pPr>
      <w:r>
        <w:t>CON_03_HSE_Policy.docx</w:t>
      </w:r>
    </w:p>
    <w:p>
      <w:pPr>
        <w:pStyle w:val="ListBullet"/>
      </w:pPr>
      <w:r>
        <w:t>CON_04_Variation_Order_Tracker.xlsx</w:t>
      </w:r>
    </w:p>
    <w:p>
      <w:pPr>
        <w:pStyle w:val="ListBullet"/>
      </w:pPr>
      <w:r>
        <w:t>CON_05_Subcontractor_Compliance.docx</w:t>
      </w:r>
    </w:p>
    <w:p>
      <w:pPr>
        <w:pStyle w:val="ListBullet"/>
      </w:pPr>
      <w:r>
        <w:t>CON_06_Cash_Flow_Forecast.xlsx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