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Diversified Conglomerate — Group Governance Charter</w:t>
      </w:r>
    </w:p>
    <w:p>
      <w:r>
        <w:rPr>
          <w:i/>
        </w:rPr>
        <w:t>Document owner: Diversified Conglomerate Group Office</w:t>
      </w:r>
      <w:r>
        <w:rPr>
          <w:i/>
        </w:rPr>
        <w:t xml:space="preserve"> · Version: FY2025-A</w:t>
      </w:r>
    </w:p>
    <w:p>
      <w:pPr>
        <w:pStyle w:val="Heading1"/>
      </w:pPr>
      <w:r>
        <w:t>1. Executive Summary</w:t>
      </w:r>
    </w:p>
    <w:p>
      <w:r>
        <w:t>FY2025 sum-of-parts NAV discount widens to 32% as 2 portfolio bets miss synergy targets — Board Capital Allocation Committee in 5 days.</w:t>
      </w:r>
    </w:p>
    <w:p>
      <w:r>
        <w:t>This group governance charter is grounded on the FY2025 working dataset for Diversified Conglomerate and informs the Board, the regulator, and the operating committee of the corrective actions agreed under the recovery plan.</w:t>
      </w:r>
    </w:p>
    <w:p>
      <w:pPr>
        <w:pStyle w:val="Heading1"/>
      </w:pPr>
      <w:r>
        <w:t>2. Scenario &amp; Background</w:t>
      </w:r>
    </w:p>
    <w:p>
      <w:r>
        <w:t>Zava Holdings Malaysia is a Malaysian diversified conglomerate listed on Bursa Malaysia (operating similarly to **Sunway Group**, **Hap Seng Consolidated**, **YTL Corporation**, and **Berjaya Corporation**) with 9 operating subsidiaries across plantations, manufacturing, financial services, property, logistics, healthcare, retail, energy and group treasury, and about 6,200 employees. The FY2025 sum-of-parts NAV discount has widened to 32% as 2 recent portfolio bets — the regional logistics platform and the consumer healthcare rollout — have missed first-year synergy targets by 40% and 55%. The Securities Commission has informally signalled it expects a clearer capital allocation narrative, lead relationship banks have raised covenant questions on the holding-company facility, and 2 activist shareholders have circulated a letter calling for a portfolio review. The Group CEO walks into a Board Capital Allocation Committee in 5 days and needs a defensible briefing pack, subsidiary-level IRR vs WACC analysis, M&amp;A pipeline reset, regulator and lender holding lines, and a 90-day capital reallocation programme — fast.</w:t>
      </w:r>
    </w:p>
    <w:p>
      <w:r>
        <w:t>The team has triangulated Diversified Conglomerate's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Diversified Conglomerate as it stands on the working dataset for this group governance charter. Reference figures and supporting tabs are stored alongside this document in the Group repository under the DIVERSIFIED-CONGLOMERATE folder.</w:t>
      </w:r>
    </w:p>
    <w:p>
      <w:pPr>
        <w:pStyle w:val="Heading2"/>
      </w:pPr>
      <w:r>
        <w:t>3.2 Key drivers</w:t>
      </w:r>
    </w:p>
    <w:p>
      <w:r>
        <w:t>Key drivers for Diversified Conglomerate as it stands on the working dataset for this group governance charter. Reference figures and supporting tabs are stored alongside this document in the Group repository under the DIVERSIFIED-CONGLOMERATE folder.</w:t>
      </w:r>
    </w:p>
    <w:p>
      <w:pPr>
        <w:pStyle w:val="Heading2"/>
      </w:pPr>
      <w:r>
        <w:t>3.3 Sensitivities and assumptions</w:t>
      </w:r>
    </w:p>
    <w:p>
      <w:r>
        <w:t>Sensitivities and assumptions for Diversified Conglomerate as it stands on the working dataset for this group governance charter. Reference figures and supporting tabs are stored alongside this document in the Group repository under the DIVERSIFIED-CONGLOMERATE folder.</w:t>
      </w:r>
    </w:p>
    <w:p>
      <w:pPr>
        <w:pStyle w:val="Heading2"/>
      </w:pPr>
      <w:r>
        <w:t>3.4 Open issues and unknowns</w:t>
      </w:r>
    </w:p>
    <w:p>
      <w:r>
        <w:t>Open issues and unknowns for Diversified Conglomerate as it stands on the working dataset for this group governance charter. Reference figures and supporting tabs are stored alongside this document in the Group repository under the DIVERSIFIED-CONGLOMERATE folder.</w:t>
      </w:r>
    </w:p>
    <w:p>
      <w:pPr>
        <w:pStyle w:val="Heading1"/>
      </w:pPr>
      <w:r>
        <w:t>4. Recommended Actions</w:t>
      </w:r>
    </w:p>
    <w:p>
      <w:pPr>
        <w:pStyle w:val="ListBullet"/>
      </w:pPr>
      <w:r>
        <w:t>Confirm the group governance charter narrative with the Diversified Conglomerate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DC_01_Group_Portfolio_Returns.xlsx</w:t>
      </w:r>
    </w:p>
    <w:p>
      <w:pPr>
        <w:pStyle w:val="ListBullet"/>
      </w:pPr>
      <w:r>
        <w:t>DC_02_Group_Governance_Charter.docx</w:t>
      </w:r>
    </w:p>
    <w:p>
      <w:pPr>
        <w:pStyle w:val="ListBullet"/>
      </w:pPr>
      <w:r>
        <w:t>DC_03_Capital_Allocation_Framework.docx</w:t>
      </w:r>
    </w:p>
    <w:p>
      <w:pPr>
        <w:pStyle w:val="ListBullet"/>
      </w:pPr>
      <w:r>
        <w:t>DC_04_MA_Pipeline_Tracker.xlsx</w:t>
      </w:r>
    </w:p>
    <w:p>
      <w:pPr>
        <w:pStyle w:val="ListBullet"/>
      </w:pPr>
      <w:r>
        <w:t>DC_05_Investor_QA_FY2025.docx</w:t>
      </w:r>
    </w:p>
    <w:p>
      <w:pPr>
        <w:pStyle w:val="ListBullet"/>
      </w:pPr>
      <w:r>
        <w:t>DC_06_Board_Capital_Committee_Charter.docx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