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E-commerce / Super-app — Festive Peak Operations Playbook</w:t>
      </w:r>
    </w:p>
    <w:p>
      <w:r>
        <w:rPr>
          <w:i/>
        </w:rPr>
        <w:t>Document owner: E-commerce / Super-app Group Office</w:t>
      </w:r>
      <w:r>
        <w:rPr>
          <w:i/>
        </w:rPr>
        <w:t xml:space="preserve"> · Version: FY2025-A</w:t>
      </w:r>
    </w:p>
    <w:p>
      <w:pPr>
        <w:pStyle w:val="Heading1"/>
      </w:pPr>
      <w:r>
        <w:t>1. Executive Summary</w:t>
      </w:r>
    </w:p>
    <w:p>
      <w:r>
        <w:t>GMV growth slowing — cohort retention down 18 ppts + rider supply shrinking pre-Hari Raya + take-rate compression from BNM/OJK + KPDN — Board in 14 days.</w:t>
      </w:r>
    </w:p>
    <w:p>
      <w:r>
        <w:t>This festive peak operations playbook is grounded on the FY2025 working dataset for E-commerce / Super-app and informs the Board, the regulator, and the operating committee of the corrective actions agreed under the recovery plan.</w:t>
      </w:r>
    </w:p>
    <w:p>
      <w:pPr>
        <w:pStyle w:val="Heading1"/>
      </w:pPr>
      <w:r>
        <w:t>2. Scenario &amp; Background</w:t>
      </w:r>
    </w:p>
    <w:p>
      <w:r>
        <w:t>Zava Connect is an ASEAN consumer super-app combining an e-commerce marketplace (24M monthly buyers), a ride-hailing and food-delivery platform (3.8M monthly riders/drivers), and a digital wallet (18M activated users) across Malaysia and Indonesia. Three pressures converge: (1) GMV growth has slowed from 32% YoY to 11% YoY over the last 3 quarters, with 6-month cohort retention dropping 18 percentage points — the FY2026 plan is now exposed; (2) rider supply has shrunk 14% MoM ahead of Hari Raya peak, with the top 5 cities showing supply-demand imbalance &gt;2x and rider-incentive spend already 22% over plan; (3) take-rate compression from concurrent regulator scrutiny — BNM (Bank Negara Malaysia) on the digital-wallet side, OJK on the Indonesian e-money side, KPDN (Kementerian Perdagangan Dalam Negeri) consumer-pricing investigation, MCMC on platform-content side — has narrowed the contribution-margin envelope by ~120 bps. The Group MD needs a Board pack in 14 days covering the GMV cohort tracker, rider supply heatmap, BNM/OJK compliance brief, take-rate defence pack, and the festive peak operations playbook. Real customer reference frame: this group operates similarly to **Shopee (Sea Group)**, **Lazada (Alibaba)**, **Tokopedia / GoTo**, **Grab**, **Gojek**, **Bukalapak**, **J&amp;T Express**, **AirAsia ride**, **Carousell**, **foodpanda**, and **Maxim** — with regulators including **BNM** (digital banking), **OJK** (digital), **KPDN**, **Kominfo Indonesia**, **Bappebti**, and **MCMC** active concurrently.</w:t>
      </w:r>
    </w:p>
    <w:p>
      <w:r>
        <w:t>The team has triangulated E-commerce / Super-app's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E-commerce / Super-app as it stands on the working dataset for this festive peak operations playbook. Reference figures and supporting tabs are stored alongside this document in the Group repository under the ECOMMERCE-SUPERAPP folder.</w:t>
      </w:r>
    </w:p>
    <w:p>
      <w:pPr>
        <w:pStyle w:val="Heading2"/>
      </w:pPr>
      <w:r>
        <w:t>3.2 Key drivers</w:t>
      </w:r>
    </w:p>
    <w:p>
      <w:r>
        <w:t>Key drivers for E-commerce / Super-app as it stands on the working dataset for this festive peak operations playbook. Reference figures and supporting tabs are stored alongside this document in the Group repository under the ECOMMERCE-SUPERAPP folder.</w:t>
      </w:r>
    </w:p>
    <w:p>
      <w:pPr>
        <w:pStyle w:val="Heading2"/>
      </w:pPr>
      <w:r>
        <w:t>3.3 Sensitivities and assumptions</w:t>
      </w:r>
    </w:p>
    <w:p>
      <w:r>
        <w:t>Sensitivities and assumptions for E-commerce / Super-app as it stands on the working dataset for this festive peak operations playbook. Reference figures and supporting tabs are stored alongside this document in the Group repository under the ECOMMERCE-SUPERAPP folder.</w:t>
      </w:r>
    </w:p>
    <w:p>
      <w:pPr>
        <w:pStyle w:val="Heading2"/>
      </w:pPr>
      <w:r>
        <w:t>3.4 Open issues and unknowns</w:t>
      </w:r>
    </w:p>
    <w:p>
      <w:r>
        <w:t>Open issues and unknowns for E-commerce / Super-app as it stands on the working dataset for this festive peak operations playbook. Reference figures and supporting tabs are stored alongside this document in the Group repository under the ECOMMERCE-SUPERAPP folder.</w:t>
      </w:r>
    </w:p>
    <w:p>
      <w:pPr>
        <w:pStyle w:val="Heading1"/>
      </w:pPr>
      <w:r>
        <w:t>4. Recommended Actions</w:t>
      </w:r>
    </w:p>
    <w:p>
      <w:pPr>
        <w:pStyle w:val="ListBullet"/>
      </w:pPr>
      <w:r>
        <w:t>Confirm the festive peak operations playbook narrative with the E-commerce / Super-app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ECM_01_GMV_Cohort_Tracker.xlsx</w:t>
      </w:r>
    </w:p>
    <w:p>
      <w:pPr>
        <w:pStyle w:val="ListBullet"/>
      </w:pPr>
      <w:r>
        <w:t>ECM_02_Rider_Supply_Heatmap.xlsx</w:t>
      </w:r>
    </w:p>
    <w:p>
      <w:pPr>
        <w:pStyle w:val="ListBullet"/>
      </w:pPr>
      <w:r>
        <w:t>ECM_03_BNM_OJK_Compliance_Brief.docx</w:t>
      </w:r>
    </w:p>
    <w:p>
      <w:pPr>
        <w:pStyle w:val="ListBullet"/>
      </w:pPr>
      <w:r>
        <w:t>ECM_04_Take_Rate_Defence_Pack.docx</w:t>
      </w:r>
    </w:p>
    <w:p>
      <w:pPr>
        <w:pStyle w:val="ListBullet"/>
      </w:pPr>
      <w:r>
        <w:t>ECM_05_Festive_Peak_Operations_Playbook.docx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