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Education — FY2026 Intake Recovery Playbook</w:t>
      </w:r>
    </w:p>
    <w:p>
      <w:r>
        <w:rPr>
          <w:i/>
        </w:rPr>
        <w:t>Document owner: Education Group Office</w:t>
      </w:r>
      <w:r>
        <w:rPr>
          <w:i/>
        </w:rPr>
        <w:t xml:space="preserve"> · Version: FY2025-A</w:t>
      </w:r>
    </w:p>
    <w:p>
      <w:pPr>
        <w:pStyle w:val="Heading1"/>
      </w:pPr>
      <w:r>
        <w:t>1. Executive Summary</w:t>
      </w:r>
    </w:p>
    <w:p>
      <w:r>
        <w:t>Intl student visa squeeze MYR 92M + new competitor private uni + MQA accreditation review delay — Group ExCo in 14 days.</w:t>
      </w:r>
    </w:p>
    <w:p>
      <w:r>
        <w:t>This fy2026 intake recovery playbook is grounded on the FY2025 working dataset for Education and informs the Board, the regulator, and the operating committee of the corrective actions agreed under the recovery plan.</w:t>
      </w:r>
    </w:p>
    <w:p>
      <w:pPr>
        <w:pStyle w:val="Heading1"/>
      </w:pPr>
      <w:r>
        <w:t>2. Scenario &amp; Background</w:t>
      </w:r>
    </w:p>
    <w:p>
      <w:r>
        <w:t>Zava Education Holdings is an ASEAN-listed private education group operating a private university (12,400 students), a foundation/A-level college (4,200 students) and a B2B/B2C e-learning platform with 180,000 active learners across Malaysia and Indonesia. Three pressures hit the January 2026 intake: (1) a tightening of international-student visa quotas by Jabatan Imigresen Malaysia and additional Kemendikbudristek scrutiny on Indonesian intake puts MYR 92M of Group revenue at risk; (2) a new competitor private university backed by a regional sovereign fund has launched 6 mid-tier programmes (Computing, Business, Engineering, Hospitality, Communication, Allied Health) with aggressive scholarship pricing — the early-admission funnel for 4 of our flagship programmes shows a 23% YoY drop; (3) the Malaysian Qualifications Agency (MQA) has flagged 3 of our programmes for accreditation review extension — a 90-day delay would force deferral of the January intake for those cohorts. The Group CEO needs an ExCo pack in 14 days covering programme P&amp;L, the international-student pipeline recovery, MQA accreditation defence, competitor programme map, and the FY2026 intake recovery playbook. Real customer reference frame: this group operates similarly to **Sunway Education Group**, **Taylor's Education Group**, **INTI International University**, **KDU University College**, **APU (Asia Pacific University)**, **Universitas Pelita Harapan (UPH)** (Lippo), **BINUS University**, **Sampoerna University**, and **Universitas Ciputra** — with regulators including **MQA** (Malaysian Qualifications Agency), **JPT** (Jabatan Pendidikan Tinggi), **Kementerian Pendidikan Tinggi MY**, **Kemendikbudristek ID**, and **BAN-PT** active concurrently.</w:t>
      </w:r>
    </w:p>
    <w:p>
      <w:r>
        <w:t>The team has triangulated Education's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Education as it stands on the working dataset for this fy2026 intake recovery playbook. Reference figures and supporting tabs are stored alongside this document in the Group repository under the EDUCATION folder.</w:t>
      </w:r>
    </w:p>
    <w:p>
      <w:pPr>
        <w:pStyle w:val="Heading2"/>
      </w:pPr>
      <w:r>
        <w:t>3.2 Key drivers</w:t>
      </w:r>
    </w:p>
    <w:p>
      <w:r>
        <w:t>Key drivers for Education as it stands on the working dataset for this fy2026 intake recovery playbook. Reference figures and supporting tabs are stored alongside this document in the Group repository under the EDUCATION folder.</w:t>
      </w:r>
    </w:p>
    <w:p>
      <w:pPr>
        <w:pStyle w:val="Heading2"/>
      </w:pPr>
      <w:r>
        <w:t>3.3 Sensitivities and assumptions</w:t>
      </w:r>
    </w:p>
    <w:p>
      <w:r>
        <w:t>Sensitivities and assumptions for Education as it stands on the working dataset for this fy2026 intake recovery playbook. Reference figures and supporting tabs are stored alongside this document in the Group repository under the EDUCATION folder.</w:t>
      </w:r>
    </w:p>
    <w:p>
      <w:pPr>
        <w:pStyle w:val="Heading2"/>
      </w:pPr>
      <w:r>
        <w:t>3.4 Open issues and unknowns</w:t>
      </w:r>
    </w:p>
    <w:p>
      <w:r>
        <w:t>Open issues and unknowns for Education as it stands on the working dataset for this fy2026 intake recovery playbook. Reference figures and supporting tabs are stored alongside this document in the Group repository under the EDUCATION folder.</w:t>
      </w:r>
    </w:p>
    <w:p>
      <w:pPr>
        <w:pStyle w:val="Heading1"/>
      </w:pPr>
      <w:r>
        <w:t>4. Recommended Actions</w:t>
      </w:r>
    </w:p>
    <w:p>
      <w:pPr>
        <w:pStyle w:val="ListBullet"/>
      </w:pPr>
      <w:r>
        <w:t>Confirm the fy2026 intake recovery playbook narrative with the Education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EDU_01_Programme_PnL.xlsx</w:t>
      </w:r>
    </w:p>
    <w:p>
      <w:pPr>
        <w:pStyle w:val="ListBullet"/>
      </w:pPr>
      <w:r>
        <w:t>EDU_02_Intl_Student_Pipeline.xlsx</w:t>
      </w:r>
    </w:p>
    <w:p>
      <w:pPr>
        <w:pStyle w:val="ListBullet"/>
      </w:pPr>
      <w:r>
        <w:t>EDU_03_MQA_Accreditation_Brief.docx</w:t>
      </w:r>
    </w:p>
    <w:p>
      <w:pPr>
        <w:pStyle w:val="ListBullet"/>
      </w:pPr>
      <w:r>
        <w:t>EDU_04_Competitor_Programme_Map.docx</w:t>
      </w:r>
    </w:p>
    <w:p>
      <w:pPr>
        <w:pStyle w:val="ListBullet"/>
      </w:pPr>
      <w:r>
        <w:t>EDU_05_FY2026_Intake_Recovery_Playbook.docx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