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🌱 ESG &amp; Sustainability — Assurance Manual</w:t>
      </w:r>
    </w:p>
    <w:p>
      <w:r>
        <w:rPr>
          <w:i/>
        </w:rPr>
        <w:t>Document owner: 🌱 ESG &amp; Sustainability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Scope 1 emissions are above glidepath, supplier due diligence gaps are visible, and sustainability assurance must be Board-ready.</w:t>
      </w:r>
    </w:p>
    <w:p>
      <w:r>
        <w:t>This assurance manual is grounded on the FY2025 working dataset for 🌱 ESG &amp; Sustainability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The Group ESG Office at Zava Group is preparing for a tougher reporting and assurance cycle while several operational indicators are moving in the wrong direction. Scope 1 emissions intensity is 14% above the FY2026 glidepath, supplier due diligence reviews are inconsistent across 1,200 tier-1 suppliers, and the climate risk roadmap has not yet been mapped to TCFD aligned scenarios. Leadership wants a clearer narrative on what is genuinely on track versus at risk, and a major customer is asking for immediate proof of supply-chain controls before contract renewal. The CSO needs a sharper cross-functional story that can stand up to Board scrutiny within five weeks, ahead of the next Sustainability Committee meeting and the FY2026 Bursa-aligned sustainability report submission.</w:t>
      </w:r>
    </w:p>
    <w:p>
      <w:r>
        <w:t>The team has triangulated 🌱 ESG &amp; Sustainability's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🌱 ESG &amp; Sustainability as it stands on the working dataset for this assurance manual. Reference figures and supporting tabs are stored alongside this document in the Group repository under the DEPT-ESG folder.</w:t>
      </w:r>
    </w:p>
    <w:p>
      <w:pPr>
        <w:pStyle w:val="Heading2"/>
      </w:pPr>
      <w:r>
        <w:t>3.2 Key drivers</w:t>
      </w:r>
    </w:p>
    <w:p>
      <w:r>
        <w:t>Key drivers for 🌱 ESG &amp; Sustainability as it stands on the working dataset for this assurance manual. Reference figures and supporting tabs are stored alongside this document in the Group repository under the DEPT-ESG folder.</w:t>
      </w:r>
    </w:p>
    <w:p>
      <w:pPr>
        <w:pStyle w:val="Heading2"/>
      </w:pPr>
      <w:r>
        <w:t>3.3 Sensitivities and assumptions</w:t>
      </w:r>
    </w:p>
    <w:p>
      <w:r>
        <w:t>Sensitivities and assumptions for 🌱 ESG &amp; Sustainability as it stands on the working dataset for this assurance manual. Reference figures and supporting tabs are stored alongside this document in the Group repository under the DEPT-ESG folder.</w:t>
      </w:r>
    </w:p>
    <w:p>
      <w:pPr>
        <w:pStyle w:val="Heading2"/>
      </w:pPr>
      <w:r>
        <w:t>3.4 Open issues and unknowns</w:t>
      </w:r>
    </w:p>
    <w:p>
      <w:r>
        <w:t>Open issues and unknowns for 🌱 ESG &amp; Sustainability as it stands on the working dataset for this assurance manual. Reference figures and supporting tabs are stored alongside this document in the Group repository under the DEPT-ESG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assurance manual narrative with the 🌱 ESG &amp; Sustainability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ESG_01_Sustainability_Dashboard.xlsx</w:t>
      </w:r>
    </w:p>
    <w:p>
      <w:pPr>
        <w:pStyle w:val="ListBullet"/>
      </w:pPr>
      <w:r>
        <w:t>ESG_02_Supplier_DueDiligence.xlsx</w:t>
      </w:r>
    </w:p>
    <w:p>
      <w:pPr>
        <w:pStyle w:val="ListBullet"/>
      </w:pPr>
      <w:r>
        <w:t>ESG_03_Sustainability_Framework.docx</w:t>
      </w:r>
    </w:p>
    <w:p>
      <w:pPr>
        <w:pStyle w:val="ListBullet"/>
      </w:pPr>
      <w:r>
        <w:t>ESG_04_Climate_Action_Roadmap.docx</w:t>
      </w:r>
    </w:p>
    <w:p>
      <w:pPr>
        <w:pStyle w:val="ListBullet"/>
      </w:pPr>
      <w:r>
        <w:t>ESG_05_Assurance_Manual.docx</w:t>
      </w:r>
    </w:p>
    <w:p>
      <w:pPr>
        <w:pStyle w:val="ListBullet"/>
      </w:pPr>
      <w:r>
        <w:t>ESG_06_Customer_Disclosure_Pack.docx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