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🌱 ESG &amp; Sustainability — Customer Disclosure Pack</w:t>
      </w:r>
    </w:p>
    <w:p>
      <w:r>
        <w:rPr>
          <w:i/>
        </w:rPr>
        <w:t>Document owner: 🌱 ESG &amp; Sustainability Group Office</w:t>
      </w:r>
      <w:r>
        <w:rPr>
          <w:i/>
        </w:rPr>
        <w:t xml:space="preserve"> · Version: FY2025-A</w:t>
      </w:r>
    </w:p>
    <w:p>
      <w:pPr>
        <w:pStyle w:val="Heading1"/>
      </w:pPr>
      <w:r>
        <w:t>1. Executive Summary</w:t>
      </w:r>
    </w:p>
    <w:p>
      <w:r>
        <w:t>Scope 1 emissions are above glidepath, supplier due diligence gaps are visible, and sustainability assurance must be Board-ready.</w:t>
      </w:r>
    </w:p>
    <w:p>
      <w:r>
        <w:t>This customer disclosure pack is grounded on the FY2025 working dataset for 🌱 ESG &amp; Sustainability and informs the Board, the regulator, and the operating committee of the corrective actions agreed under the recovery plan.</w:t>
      </w:r>
    </w:p>
    <w:p>
      <w:pPr>
        <w:pStyle w:val="Heading1"/>
      </w:pPr>
      <w:r>
        <w:t>2. Scenario &amp; Background</w:t>
      </w:r>
    </w:p>
    <w:p>
      <w:r>
        <w:t>The Group ESG Office at Zava Group is preparing for a tougher reporting and assurance cycle while several operational indicators are moving in the wrong direction. Scope 1 emissions intensity is 14% above the FY2026 glidepath, supplier due diligence reviews are inconsistent across 1,200 tier-1 suppliers, and the climate risk roadmap has not yet been mapped to TCFD aligned scenarios. Leadership wants a clearer narrative on what is genuinely on track versus at risk, and a major customer is asking for immediate proof of supply-chain controls before contract renewal. The CSO needs a sharper cross-functional story that can stand up to Board scrutiny within five weeks, ahead of the next Sustainability Committee meeting and the FY2026 Bursa-aligned sustainability report submission.</w:t>
      </w:r>
    </w:p>
    <w:p>
      <w:r>
        <w:t>The team has triangulated 🌱 ESG &amp; Sustainability's most recent reported performance against three peer benchmarks and against the regulator's published thresholds for the sector. Findings carried over from the prior cycle have been re-examined to test whether the original assumptions still hold.</w:t>
      </w:r>
    </w:p>
    <w:p>
      <w:pPr>
        <w:pStyle w:val="Heading1"/>
      </w:pPr>
      <w:r>
        <w:t>3. Detail &amp; Working</w:t>
      </w:r>
    </w:p>
    <w:p>
      <w:pPr>
        <w:pStyle w:val="Heading2"/>
      </w:pPr>
      <w:r>
        <w:t>3.1 Position at end of period</w:t>
      </w:r>
    </w:p>
    <w:p>
      <w:r>
        <w:t>Position at end of period for 🌱 ESG &amp; Sustainability as it stands on the working dataset for this customer disclosure pack. Reference figures and supporting tabs are stored alongside this document in the Group repository under the DEPT-ESG folder.</w:t>
      </w:r>
    </w:p>
    <w:p>
      <w:pPr>
        <w:pStyle w:val="Heading2"/>
      </w:pPr>
      <w:r>
        <w:t>3.2 Key drivers</w:t>
      </w:r>
    </w:p>
    <w:p>
      <w:r>
        <w:t>Key drivers for 🌱 ESG &amp; Sustainability as it stands on the working dataset for this customer disclosure pack. Reference figures and supporting tabs are stored alongside this document in the Group repository under the DEPT-ESG folder.</w:t>
      </w:r>
    </w:p>
    <w:p>
      <w:pPr>
        <w:pStyle w:val="Heading2"/>
      </w:pPr>
      <w:r>
        <w:t>3.3 Sensitivities and assumptions</w:t>
      </w:r>
    </w:p>
    <w:p>
      <w:r>
        <w:t>Sensitivities and assumptions for 🌱 ESG &amp; Sustainability as it stands on the working dataset for this customer disclosure pack. Reference figures and supporting tabs are stored alongside this document in the Group repository under the DEPT-ESG folder.</w:t>
      </w:r>
    </w:p>
    <w:p>
      <w:pPr>
        <w:pStyle w:val="Heading2"/>
      </w:pPr>
      <w:r>
        <w:t>3.4 Open issues and unknowns</w:t>
      </w:r>
    </w:p>
    <w:p>
      <w:r>
        <w:t>Open issues and unknowns for 🌱 ESG &amp; Sustainability as it stands on the working dataset for this customer disclosure pack. Reference figures and supporting tabs are stored alongside this document in the Group repository under the DEPT-ESG folder.</w:t>
      </w:r>
    </w:p>
    <w:p>
      <w:pPr>
        <w:pStyle w:val="Heading1"/>
      </w:pPr>
      <w:r>
        <w:t>4. Recommended Actions</w:t>
      </w:r>
    </w:p>
    <w:p>
      <w:pPr>
        <w:pStyle w:val="ListBullet"/>
      </w:pPr>
      <w:r>
        <w:t>Confirm the customer disclosure pack narrative with the 🌱 ESG &amp; Sustainability CFO before Board cut-off.</w:t>
      </w:r>
    </w:p>
    <w:p>
      <w:pPr>
        <w:pStyle w:val="ListBullet"/>
      </w:pPr>
      <w:r>
        <w:t>Lock the assumption set for the recovery plan and circulate to division MDs.</w:t>
      </w:r>
    </w:p>
    <w:p>
      <w:pPr>
        <w:pStyle w:val="ListBullet"/>
      </w:pPr>
      <w:r>
        <w:t>Pre-brief the regulator-facing officer on the 30/60/90-day commitments.</w:t>
      </w:r>
    </w:p>
    <w:p>
      <w:pPr>
        <w:pStyle w:val="ListBullet"/>
      </w:pPr>
      <w:r>
        <w:t>Schedule the cross-functional review with risk, legal, and IR.</w:t>
      </w:r>
    </w:p>
    <w:p>
      <w:pPr>
        <w:pStyle w:val="ListBullet"/>
      </w:pPr>
      <w:r>
        <w:t>Capture decisions in the Group decision log with named owners and due dates.</w:t>
      </w:r>
    </w:p>
    <w:p>
      <w:pPr>
        <w:pStyle w:val="Heading1"/>
      </w:pPr>
      <w:r>
        <w:t>5. Appendix — Source files</w:t>
      </w:r>
    </w:p>
    <w:p>
      <w:pPr>
        <w:pStyle w:val="ListBullet"/>
      </w:pPr>
      <w:r>
        <w:t>ESG_01_Sustainability_Dashboard.xlsx</w:t>
      </w:r>
    </w:p>
    <w:p>
      <w:pPr>
        <w:pStyle w:val="ListBullet"/>
      </w:pPr>
      <w:r>
        <w:t>ESG_02_Supplier_DueDiligence.xlsx</w:t>
      </w:r>
    </w:p>
    <w:p>
      <w:pPr>
        <w:pStyle w:val="ListBullet"/>
      </w:pPr>
      <w:r>
        <w:t>ESG_03_Sustainability_Framework.docx</w:t>
      </w:r>
    </w:p>
    <w:p>
      <w:pPr>
        <w:pStyle w:val="ListBullet"/>
      </w:pPr>
      <w:r>
        <w:t>ESG_04_Climate_Action_Roadmap.docx</w:t>
      </w:r>
    </w:p>
    <w:p>
      <w:pPr>
        <w:pStyle w:val="ListBullet"/>
      </w:pPr>
      <w:r>
        <w:t>ESG_05_Assurance_Manual.docx</w:t>
      </w:r>
    </w:p>
    <w:p>
      <w:pPr>
        <w:pStyle w:val="ListBullet"/>
      </w:pPr>
      <w:r>
        <w:t>ESG_06_Customer_Disclosure_Pack.docx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