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💰 Finance &amp; Treasury — Treasury Policy</w:t>
      </w:r>
    </w:p>
    <w:p>
      <w:r>
        <w:rPr>
          <w:i/>
        </w:rPr>
        <w:t>Document owner: 💰 Finance &amp; Treasury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Month-end close is 3 days late, opex variance is -22%%, AP ageing &gt; 90 days reached MYR 84M — CFO must present a 15%% cost reset to Audit Committee in 30 days.</w:t>
      </w:r>
    </w:p>
    <w:p>
      <w:r>
        <w:t>This treasury policy is grounded on the FY2025 working dataset for 💰 Finance &amp; Treasury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October month-end close is 3 days late due to intercompany reconciliation failures across 12 entities. Operating expenses have blown out to -22%% variance against RKAP (annual budget). Accounts payable ageing &gt;90 days has reached MYR 84 million, triggering supplier payment holds and threatening production continuity. Two loan covenants are at risk of breach (Debt/EBITDA approaching 3.5x limit). The FY2026 RKAP submission deadline is in 45 days but the finance team cannot plan forward while firefighting. The Audit Committee has demanded a 15%% cost reset proposal with implementation roadmap within 30 days.</w:t>
      </w:r>
    </w:p>
    <w:p>
      <w:r>
        <w:t>The team has triangulated 💰 Finance &amp; Treasury's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💰 Finance &amp; Treasury as it stands on the working dataset for this treasury policy. Reference figures and supporting tabs are stored alongside this document in the Group repository under the DEPT-FINANCE folder.</w:t>
      </w:r>
    </w:p>
    <w:p>
      <w:pPr>
        <w:pStyle w:val="Heading2"/>
      </w:pPr>
      <w:r>
        <w:t>3.2 Key drivers</w:t>
      </w:r>
    </w:p>
    <w:p>
      <w:r>
        <w:t>Key drivers for 💰 Finance &amp; Treasury as it stands on the working dataset for this treasury policy. Reference figures and supporting tabs are stored alongside this document in the Group repository under the DEPT-FINANCE folder.</w:t>
      </w:r>
    </w:p>
    <w:p>
      <w:pPr>
        <w:pStyle w:val="Heading2"/>
      </w:pPr>
      <w:r>
        <w:t>3.3 Sensitivities and assumptions</w:t>
      </w:r>
    </w:p>
    <w:p>
      <w:r>
        <w:t>Sensitivities and assumptions for 💰 Finance &amp; Treasury as it stands on the working dataset for this treasury policy. Reference figures and supporting tabs are stored alongside this document in the Group repository under the DEPT-FINANCE folder.</w:t>
      </w:r>
    </w:p>
    <w:p>
      <w:pPr>
        <w:pStyle w:val="Heading2"/>
      </w:pPr>
      <w:r>
        <w:t>3.4 Open issues and unknowns</w:t>
      </w:r>
    </w:p>
    <w:p>
      <w:r>
        <w:t>Open issues and unknowns for 💰 Finance &amp; Treasury as it stands on the working dataset for this treasury policy. Reference figures and supporting tabs are stored alongside this document in the Group repository under the DEPT-FINANCE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treasury policy narrative with the 💰 Finance &amp; Treasury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FIN_01_Budget_Performance.xlsx</w:t>
      </w:r>
    </w:p>
    <w:p>
      <w:pPr>
        <w:pStyle w:val="ListBullet"/>
      </w:pPr>
      <w:r>
        <w:t>FIN_02_Treasury_Policy.docx</w:t>
      </w:r>
    </w:p>
    <w:p>
      <w:pPr>
        <w:pStyle w:val="ListBullet"/>
      </w:pPr>
      <w:r>
        <w:t>FIN_03_Month_End_Close_Playbook.docx</w:t>
      </w:r>
    </w:p>
    <w:p>
      <w:pPr>
        <w:pStyle w:val="ListBullet"/>
      </w:pPr>
      <w:r>
        <w:t>FIN_04_AP_Ageing_Register.xlsx</w:t>
      </w:r>
    </w:p>
    <w:p>
      <w:pPr>
        <w:pStyle w:val="ListBullet"/>
      </w:pPr>
      <w:r>
        <w:t>FIN_05_Cashflow_Forecast.xlsx</w:t>
      </w:r>
    </w:p>
    <w:p>
      <w:pPr>
        <w:pStyle w:val="ListBullet"/>
      </w:pPr>
      <w:r>
        <w:t>FIN_06_Audit_Committee_Charter.docx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