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Finance &amp; Treasury — Month End Close Playbook</w:t>
      </w:r>
    </w:p>
    <w:p>
      <w:r>
        <w:rPr>
          <w:i/>
        </w:rPr>
        <w:t>Document owner: 💰 Finance &amp; Treasury Group Office</w:t>
      </w:r>
      <w:r>
        <w:rPr>
          <w:i/>
        </w:rPr>
        <w:t xml:space="preserve"> · Version: FY2025-A</w:t>
      </w:r>
    </w:p>
    <w:p>
      <w:pPr>
        <w:pStyle w:val="Heading1"/>
      </w:pPr>
      <w:r>
        <w:t>1. Executive Summary</w:t>
      </w:r>
    </w:p>
    <w:p>
      <w:r>
        <w:t>Month-end close is 3 days late, opex variance is -22%%, AP ageing &gt; 90 days reached MYR 84M — CFO must present a 15%% cost reset to Audit Committee in 30 days.</w:t>
      </w:r>
    </w:p>
    <w:p>
      <w:r>
        <w:t>This month end close playbook is grounded on the FY2025 working dataset for 💰 Finance &amp; Treasury and informs the Board, the regulator, and the operating committee of the corrective actions agreed under the recovery plan.</w:t>
      </w:r>
    </w:p>
    <w:p>
      <w:pPr>
        <w:pStyle w:val="Heading1"/>
      </w:pPr>
      <w:r>
        <w:t>2. Scenario &amp; Background</w:t>
      </w:r>
    </w:p>
    <w:p>
      <w:r>
        <w:t>The October month-end close is 3 days late due to intercompany reconciliation failures across 12 entities. Operating expenses have blown out to -22%% variance against RKAP (annual budget). Accounts payable ageing &gt;90 days has reached MYR 84 million, triggering supplier payment holds and threatening production continuity. Two loan covenants are at risk of breach (Debt/EBITDA approaching 3.5x limit). The FY2026 RKAP submission deadline is in 45 days but the finance team cannot plan forward while firefighting. The Audit Committee has demanded a 15%% cost reset proposal with implementation roadmap within 30 days.</w:t>
      </w:r>
    </w:p>
    <w:p>
      <w:r>
        <w:t>The team has triangulated 💰 Finance &amp; Treasury's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Finance &amp; Treasury as it stands on the working dataset for this month end close playbook. Reference figures and supporting tabs are stored alongside this document in the Group repository under the DEPT-FINANCE folder.</w:t>
      </w:r>
    </w:p>
    <w:p>
      <w:pPr>
        <w:pStyle w:val="Heading2"/>
      </w:pPr>
      <w:r>
        <w:t>3.2 Key drivers</w:t>
      </w:r>
    </w:p>
    <w:p>
      <w:r>
        <w:t>Key drivers for 💰 Finance &amp; Treasury as it stands on the working dataset for this month end close playbook. Reference figures and supporting tabs are stored alongside this document in the Group repository under the DEPT-FINANCE folder.</w:t>
      </w:r>
    </w:p>
    <w:p>
      <w:pPr>
        <w:pStyle w:val="Heading2"/>
      </w:pPr>
      <w:r>
        <w:t>3.3 Sensitivities and assumptions</w:t>
      </w:r>
    </w:p>
    <w:p>
      <w:r>
        <w:t>Sensitivities and assumptions for 💰 Finance &amp; Treasury as it stands on the working dataset for this month end close playbook. Reference figures and supporting tabs are stored alongside this document in the Group repository under the DEPT-FINANCE folder.</w:t>
      </w:r>
    </w:p>
    <w:p>
      <w:pPr>
        <w:pStyle w:val="Heading2"/>
      </w:pPr>
      <w:r>
        <w:t>3.4 Open issues and unknowns</w:t>
      </w:r>
    </w:p>
    <w:p>
      <w:r>
        <w:t>Open issues and unknowns for 💰 Finance &amp; Treasury as it stands on the working dataset for this month end close playbook. Reference figures and supporting tabs are stored alongside this document in the Group repository under the DEPT-FINANCE folder.</w:t>
      </w:r>
    </w:p>
    <w:p>
      <w:pPr>
        <w:pStyle w:val="Heading1"/>
      </w:pPr>
      <w:r>
        <w:t>4. Recommended Actions</w:t>
      </w:r>
    </w:p>
    <w:p>
      <w:pPr>
        <w:pStyle w:val="ListBullet"/>
      </w:pPr>
      <w:r>
        <w:t>Confirm the month end close playbook narrative with the 💰 Finance &amp; Treasury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FIN_01_Budget_Performance.xlsx</w:t>
      </w:r>
    </w:p>
    <w:p>
      <w:pPr>
        <w:pStyle w:val="ListBullet"/>
      </w:pPr>
      <w:r>
        <w:t>FIN_02_Treasury_Policy.docx</w:t>
      </w:r>
    </w:p>
    <w:p>
      <w:pPr>
        <w:pStyle w:val="ListBullet"/>
      </w:pPr>
      <w:r>
        <w:t>FIN_03_Month_End_Close_Playbook.docx</w:t>
      </w:r>
    </w:p>
    <w:p>
      <w:pPr>
        <w:pStyle w:val="ListBullet"/>
      </w:pPr>
      <w:r>
        <w:t>FIN_04_AP_Ageing_Register.xlsx</w:t>
      </w:r>
    </w:p>
    <w:p>
      <w:pPr>
        <w:pStyle w:val="ListBullet"/>
      </w:pPr>
      <w:r>
        <w:t>FIN_05_Cashflow_Forecast.xlsx</w:t>
      </w:r>
    </w:p>
    <w:p>
      <w:pPr>
        <w:pStyle w:val="ListBullet"/>
      </w:pPr>
      <w:r>
        <w:t>FIN_06_Audit_Committee_Charter.docx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