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Food &amp; FMCG — Recall Remediation Programme</w:t>
      </w:r>
    </w:p>
    <w:p>
      <w:r>
        <w:rPr>
          <w:i/>
        </w:rPr>
        <w:t>Document owner: Food &amp; FMCG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Q4 FY2025 trade-spend overrun MYR 78M; key SKU recall in 2 markets — Board pack in 5 days.</w:t>
      </w:r>
    </w:p>
    <w:p>
      <w:r>
        <w:t>This recall remediation programme is grounded on the FY2025 working dataset for Food &amp; FMCG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Foods Indonesia is an ASEAN-listed food and FMCG group with 14 manufacturing plants across Indonesia, Malaysia, Singapore and the Philippines, producing instant noodles, dairy, beverages, baked goods, snacks and edible-oils for over 250 SKUs. Trade-spend in Q4 FY2025 overran budget by MYR 78M (+22%) driven by aggressive promo activity in modern trade and weaker general-trade sell-through. A Salmonella scare on one bakery SKU triggered a precautionary recall in Malaysia and Singapore — BPOM Indonesia, MOH Malaysia and SFA Singapore have all opened files. Edible-oil costs jumped 18% on CPO volatility, squeezing margins on the 4 highest-volume noodle SKUs. The Group CFO needs a Board pack in 5 days covering trade-spend control, the recall remediation programme, gross-margin recovery, and FY2026 promo guardrails. Real customer reference frame: the group operates similarly to Japfa Comfeed, Nippon Indosari Corpindo, **Sari Melati Kapital** (Pizza Hut Malaysia operator), Mamee-Double Decker, Spritzer, F&amp;N Holdings, Malayan Flour Mills and Ajinomoto Indonesia.</w:t>
      </w:r>
    </w:p>
    <w:p>
      <w:r>
        <w:t>The team has triangulated Food &amp; FMCG's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Food &amp; FMCG as it stands on the working dataset for this recall remediation programme. Reference figures and supporting tabs are stored alongside this document in the Group repository under the FOOD-FMCG folder.</w:t>
      </w:r>
    </w:p>
    <w:p>
      <w:pPr>
        <w:pStyle w:val="Heading2"/>
      </w:pPr>
      <w:r>
        <w:t>3.2 Key drivers</w:t>
      </w:r>
    </w:p>
    <w:p>
      <w:r>
        <w:t>Key drivers for Food &amp; FMCG as it stands on the working dataset for this recall remediation programme. Reference figures and supporting tabs are stored alongside this document in the Group repository under the FOOD-FMCG folder.</w:t>
      </w:r>
    </w:p>
    <w:p>
      <w:pPr>
        <w:pStyle w:val="Heading2"/>
      </w:pPr>
      <w:r>
        <w:t>3.3 Sensitivities and assumptions</w:t>
      </w:r>
    </w:p>
    <w:p>
      <w:r>
        <w:t>Sensitivities and assumptions for Food &amp; FMCG as it stands on the working dataset for this recall remediation programme. Reference figures and supporting tabs are stored alongside this document in the Group repository under the FOOD-FMCG folder.</w:t>
      </w:r>
    </w:p>
    <w:p>
      <w:pPr>
        <w:pStyle w:val="Heading2"/>
      </w:pPr>
      <w:r>
        <w:t>3.4 Open issues and unknowns</w:t>
      </w:r>
    </w:p>
    <w:p>
      <w:r>
        <w:t>Open issues and unknowns for Food &amp; FMCG as it stands on the working dataset for this recall remediation programme. Reference figures and supporting tabs are stored alongside this document in the Group repository under the FOOD-FMCG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recall remediation programme narrative with the Food &amp; FMCG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FMCG_01_Trade_Spend_Tracker.xlsx</w:t>
      </w:r>
    </w:p>
    <w:p>
      <w:pPr>
        <w:pStyle w:val="ListBullet"/>
      </w:pPr>
      <w:r>
        <w:t>FMCG_02_SKU_Margin_Tracker.xlsx</w:t>
      </w:r>
    </w:p>
    <w:p>
      <w:pPr>
        <w:pStyle w:val="ListBullet"/>
      </w:pPr>
      <w:r>
        <w:t>FMCG_03_Recall_Remediation_Programme.docx</w:t>
      </w:r>
    </w:p>
    <w:p>
      <w:pPr>
        <w:pStyle w:val="ListBullet"/>
      </w:pPr>
      <w:r>
        <w:t>FMCG_04_Edible_Oil_Hedge_Book.xlsx</w:t>
      </w:r>
    </w:p>
    <w:p>
      <w:pPr>
        <w:pStyle w:val="ListBullet"/>
      </w:pPr>
      <w:r>
        <w:t>FMCG_05_FY2026_Promo_Guardrails.docx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