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Fintech Payments — Fraud Risk Policy</w:t>
      </w:r>
    </w:p>
    <w:p>
      <w:r>
        <w:rPr>
          <w:i/>
        </w:rPr>
        <w:t>Document owner: Fintech Payments Group Office</w:t>
      </w:r>
      <w:r>
        <w:rPr>
          <w:i/>
        </w:rPr>
        <w:t xml:space="preserve"> · Version: FY2025-A</w:t>
      </w:r>
    </w:p>
    <w:p>
      <w:pPr>
        <w:pStyle w:val="Heading1"/>
      </w:pPr>
      <w:r>
        <w:t>1. Executive Summary</w:t>
      </w:r>
    </w:p>
    <w:p>
      <w:r>
        <w:t>FY2025 fraud losses jumped 47% in Q4 and OJK e-money licence renewal is due in 60 days — escalation to Bank Indonesia in 72 hours</w:t>
      </w:r>
    </w:p>
    <w:p>
      <w:r>
        <w:t>This fraud risk policy is grounded on the FY2025 working dataset for Fintech Payments and informs the Board, the regulator, and the operating committee of the corrective actions agreed under the recovery plan.</w:t>
      </w:r>
    </w:p>
    <w:p>
      <w:pPr>
        <w:pStyle w:val="Heading1"/>
      </w:pPr>
      <w:r>
        <w:t>2. Scenario &amp; Background</w:t>
      </w:r>
    </w:p>
    <w:p>
      <w:r>
        <w:t>BayarLintas runs e-wallet, QRIS payments and B2B settlement across Malaysia and Indonesia. A coordinated social-engineering attack lifted Q4 fraud losses to RM 38m / Rp 134 miliar, breaching the OJK loss-event threshold. OJK has paused the e-money licence renewal pending a remediation plan; Bank Indonesia wants a written response in 72 hours and BSSN has issued 9 critical findings in the latest cyber audit. The CEO has called an emergency Board meeting in 5 days. The team has 6 source documents and needs to produce: a Board pack with a recovery bridge, an OJK licence renewal brief, a BSSN remediation plan, and a 90-day product roadmap reset that does not push merchants and consumers off the platform.</w:t>
      </w:r>
    </w:p>
    <w:p>
      <w:r>
        <w:t>The team has triangulated Fintech Payments's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Fintech Payments as it stands on the working dataset for this fraud risk policy. Reference figures and supporting tabs are stored alongside this document in the Group repository under the FINTECH-PAYMENTS folder.</w:t>
      </w:r>
    </w:p>
    <w:p>
      <w:pPr>
        <w:pStyle w:val="Heading2"/>
      </w:pPr>
      <w:r>
        <w:t>3.2 Key drivers</w:t>
      </w:r>
    </w:p>
    <w:p>
      <w:r>
        <w:t>Key drivers for Fintech Payments as it stands on the working dataset for this fraud risk policy. Reference figures and supporting tabs are stored alongside this document in the Group repository under the FINTECH-PAYMENTS folder.</w:t>
      </w:r>
    </w:p>
    <w:p>
      <w:pPr>
        <w:pStyle w:val="Heading2"/>
      </w:pPr>
      <w:r>
        <w:t>3.3 Sensitivities and assumptions</w:t>
      </w:r>
    </w:p>
    <w:p>
      <w:r>
        <w:t>Sensitivities and assumptions for Fintech Payments as it stands on the working dataset for this fraud risk policy. Reference figures and supporting tabs are stored alongside this document in the Group repository under the FINTECH-PAYMENTS folder.</w:t>
      </w:r>
    </w:p>
    <w:p>
      <w:pPr>
        <w:pStyle w:val="Heading2"/>
      </w:pPr>
      <w:r>
        <w:t>3.4 Open issues and unknowns</w:t>
      </w:r>
    </w:p>
    <w:p>
      <w:r>
        <w:t>Open issues and unknowns for Fintech Payments as it stands on the working dataset for this fraud risk policy. Reference figures and supporting tabs are stored alongside this document in the Group repository under the FINTECH-PAYMENTS folder.</w:t>
      </w:r>
    </w:p>
    <w:p>
      <w:pPr>
        <w:pStyle w:val="Heading1"/>
      </w:pPr>
      <w:r>
        <w:t>4. Recommended Actions</w:t>
      </w:r>
    </w:p>
    <w:p>
      <w:pPr>
        <w:pStyle w:val="ListBullet"/>
      </w:pPr>
      <w:r>
        <w:t>Confirm the fraud risk policy narrative with the Fintech Payments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FT_01_Payments_Operations.xlsx</w:t>
      </w:r>
    </w:p>
    <w:p>
      <w:pPr>
        <w:pStyle w:val="ListBullet"/>
      </w:pPr>
      <w:r>
        <w:t>FT_02_OJK_Licence_Conditions.docx</w:t>
      </w:r>
    </w:p>
    <w:p>
      <w:pPr>
        <w:pStyle w:val="ListBullet"/>
      </w:pPr>
      <w:r>
        <w:t>FT_03_Fraud_Risk_Policy.docx</w:t>
      </w:r>
    </w:p>
    <w:p>
      <w:pPr>
        <w:pStyle w:val="ListBullet"/>
      </w:pPr>
      <w:r>
        <w:t>FT_04_Product_Roadmap_2026.docx</w:t>
      </w:r>
    </w:p>
    <w:p>
      <w:pPr>
        <w:pStyle w:val="ListBullet"/>
      </w:pPr>
      <w:r>
        <w:t>FT_05_BSSN_Cyber_Audit_Report.docx</w:t>
      </w:r>
    </w:p>
    <w:p>
      <w:pPr>
        <w:pStyle w:val="ListBullet"/>
      </w:pPr>
      <w:r>
        <w:t>FT_06_AML_KYC_Procedure.docx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