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General Insurance — Risk Management Framework</w:t>
      </w:r>
    </w:p>
    <w:p>
      <w:r>
        <w:rPr>
          <w:i/>
        </w:rPr>
        <w:t>Document owner: General Insurance Group Office</w:t>
      </w:r>
      <w:r>
        <w:rPr>
          <w:i/>
        </w:rPr>
        <w:t xml:space="preserve"> · Version: FY2025-A</w:t>
      </w:r>
    </w:p>
    <w:p>
      <w:pPr>
        <w:pStyle w:val="Heading1"/>
      </w:pPr>
      <w:r>
        <w:t>1. Executive Summary</w:t>
      </w:r>
    </w:p>
    <w:p>
      <w:r>
        <w:t>Motor severity and claims leakage are pushing combined ratio above plan, with reserve scrutiny looming.</w:t>
      </w:r>
    </w:p>
    <w:p>
      <w:r>
        <w:t>This risk management framework is grounded on the FY2025 working dataset for General Insurance and informs the Board, the regulator, and the operating committee of the corrective actions agreed under the recovery plan.</w:t>
      </w:r>
    </w:p>
    <w:p>
      <w:pPr>
        <w:pStyle w:val="Heading1"/>
      </w:pPr>
      <w:r>
        <w:t>2. Scenario &amp; Background</w:t>
      </w:r>
    </w:p>
    <w:p>
      <w:r>
        <w:t>Zava General Insurance Malaysia is a Malaysian general insurer with a large motor and commercial property book. Claims frequency stayed elevated after severe weather; the sharper problem is severity — repair inflation, leakage, and questionable workshop behaviour are pushing the motor portfolio beyond target while the reserve margin narrows. Detariffed pricing actions taken to defend market share are not fully compensating for the changing risk mix in segments where underwriting discipline weakened. BNM has asked for sharper explanations of reserve adequacy, reinsurance dependency, and the path back to a sustainable combined ratio before the next supervisory dialogue. Zava General Insurance Indonesia, the Indonesian affiliate, faces similar pressure as OJK reviews reserve assumptions, IDX investors question underwriting quality, and Bank Indonesia inflation keeps spare-parts costs high. The executive committee has two weeks to decide how hard to reprice, where to tighten claims controls, and whether reinsurance protection is still adequate.</w:t>
      </w:r>
    </w:p>
    <w:p>
      <w:r>
        <w:t>The team has triangulated General Insurance's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General Insurance as it stands on the working dataset for this risk management framework. Reference figures and supporting tabs are stored alongside this document in the Group repository under the GENERAL-INSURANCE folder.</w:t>
      </w:r>
    </w:p>
    <w:p>
      <w:pPr>
        <w:pStyle w:val="Heading2"/>
      </w:pPr>
      <w:r>
        <w:t>3.2 Key drivers</w:t>
      </w:r>
    </w:p>
    <w:p>
      <w:r>
        <w:t>Key drivers for General Insurance as it stands on the working dataset for this risk management framework. Reference figures and supporting tabs are stored alongside this document in the Group repository under the GENERAL-INSURANCE folder.</w:t>
      </w:r>
    </w:p>
    <w:p>
      <w:pPr>
        <w:pStyle w:val="Heading2"/>
      </w:pPr>
      <w:r>
        <w:t>3.3 Sensitivities and assumptions</w:t>
      </w:r>
    </w:p>
    <w:p>
      <w:r>
        <w:t>Sensitivities and assumptions for General Insurance as it stands on the working dataset for this risk management framework. Reference figures and supporting tabs are stored alongside this document in the Group repository under the GENERAL-INSURANCE folder.</w:t>
      </w:r>
    </w:p>
    <w:p>
      <w:pPr>
        <w:pStyle w:val="Heading2"/>
      </w:pPr>
      <w:r>
        <w:t>3.4 Open issues and unknowns</w:t>
      </w:r>
    </w:p>
    <w:p>
      <w:r>
        <w:t>Open issues and unknowns for General Insurance as it stands on the working dataset for this risk management framework. Reference figures and supporting tabs are stored alongside this document in the Group repository under the GENERAL-INSURANCE folder.</w:t>
      </w:r>
    </w:p>
    <w:p>
      <w:pPr>
        <w:pStyle w:val="Heading1"/>
      </w:pPr>
      <w:r>
        <w:t>4. Recommended Actions</w:t>
      </w:r>
    </w:p>
    <w:p>
      <w:pPr>
        <w:pStyle w:val="ListBullet"/>
      </w:pPr>
      <w:r>
        <w:t>Confirm the risk management framework narrative with the General Insurance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GI_01_Claims_Portfolio.xlsx</w:t>
      </w:r>
    </w:p>
    <w:p>
      <w:pPr>
        <w:pStyle w:val="ListBullet"/>
      </w:pPr>
      <w:r>
        <w:t>GI_02_Product_Manual.docx</w:t>
      </w:r>
    </w:p>
    <w:p>
      <w:pPr>
        <w:pStyle w:val="ListBullet"/>
      </w:pPr>
      <w:r>
        <w:t>GI_03_Risk_Management_Framework.docx</w:t>
      </w:r>
    </w:p>
    <w:p>
      <w:pPr>
        <w:pStyle w:val="ListBullet"/>
      </w:pPr>
      <w:r>
        <w:t>GI_04_Reinsurance_Treaty_Pack.docx</w:t>
      </w:r>
    </w:p>
    <w:p>
      <w:pPr>
        <w:pStyle w:val="ListBullet"/>
      </w:pPr>
      <w:r>
        <w:t>GI_05_Pricing_Adequacy_Model.xlsx</w:t>
      </w:r>
    </w:p>
    <w:p>
      <w:pPr>
        <w:pStyle w:val="ListBullet"/>
      </w:pPr>
      <w:r>
        <w:t>GI_06_Workshop_Vendor_Analysis.xlsx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