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GLC Investment Arm — Investment Policy Statement</w:t>
      </w:r>
    </w:p>
    <w:p>
      <w:r>
        <w:rPr>
          <w:i/>
        </w:rPr>
        <w:t>Document owner: GLC Investment Arm Group Office</w:t>
      </w:r>
      <w:r>
        <w:rPr>
          <w:i/>
        </w:rPr>
        <w:t xml:space="preserve"> · Version: FY2025-A</w:t>
      </w:r>
    </w:p>
    <w:p>
      <w:pPr>
        <w:pStyle w:val="Heading1"/>
      </w:pPr>
      <w:r>
        <w:t>1. Executive Summary</w:t>
      </w:r>
    </w:p>
    <w:p>
      <w:r>
        <w:t>FY2025 portfolio NAV underperformed benchmark by 9.2% — Ministerial briefing in 14 days.</w:t>
      </w:r>
    </w:p>
    <w:p>
      <w:r>
        <w:t>This investment policy statement is grounded on the FY2025 working dataset for GLC Investment Arm and informs the Board, the regulator, and the operating committee of the corrective actions agreed under the recovery plan.</w:t>
      </w:r>
    </w:p>
    <w:p>
      <w:pPr>
        <w:pStyle w:val="Heading1"/>
      </w:pPr>
      <w:r>
        <w:t>2. Scenario &amp; Background</w:t>
      </w:r>
    </w:p>
    <w:p>
      <w:r>
        <w:t>Zava Investment Malaysia is a Malaysian Government-Linked Investment Company managing MYR 52.4B AUM across listed equities (MYR 28B), private markets (MYR 11B), infrastructure (MYR 7B), and strategic holdings (MYR 6.4B). The Fund operates under 6 Ministerial mandates: capital preservation, real return target of CPI plus 4 percent, dividend distribution to the Federal Treasury, ESG floor effective 2025, domestic liquidity support, and stewardship over 9 strategic holdings. FY2025 NAV underperformed the policy benchmark by 9.2 percent — a NAV drag of MYR 1.8B against the bogey — driven mainly by 3 strategic holdings (Bumi Energi, Tenaga Nusa Telekom, Pelabuhan Niaga Holdings). Dividend distribution to the Treasury missed target by 22 percent (MYR 880M actual vs MYR 1.13B target). Internal Audit closed FY2025 with 12 governance findings on conflict-of-interest waivers, mandate compliance, and ESG screening. The Public Accounts Committee has summoned the Chief Investment Officer. The Ministry of Finance has requested a 14-day briefing pack covering remediation, mandate alignment, dividend recovery, and a 36-month NAV restoration plan.</w:t>
      </w:r>
    </w:p>
    <w:p>
      <w:r>
        <w:t>The team has triangulated GLC Investment Arm's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GLC Investment Arm as it stands on the working dataset for this investment policy statement. Reference figures and supporting tabs are stored alongside this document in the Group repository under the GLC-INVESTMENT folder.</w:t>
      </w:r>
    </w:p>
    <w:p>
      <w:pPr>
        <w:pStyle w:val="Heading2"/>
      </w:pPr>
      <w:r>
        <w:t>3.2 Key drivers</w:t>
      </w:r>
    </w:p>
    <w:p>
      <w:r>
        <w:t>Key drivers for GLC Investment Arm as it stands on the working dataset for this investment policy statement. Reference figures and supporting tabs are stored alongside this document in the Group repository under the GLC-INVESTMENT folder.</w:t>
      </w:r>
    </w:p>
    <w:p>
      <w:pPr>
        <w:pStyle w:val="Heading2"/>
      </w:pPr>
      <w:r>
        <w:t>3.3 Sensitivities and assumptions</w:t>
      </w:r>
    </w:p>
    <w:p>
      <w:r>
        <w:t>Sensitivities and assumptions for GLC Investment Arm as it stands on the working dataset for this investment policy statement. Reference figures and supporting tabs are stored alongside this document in the Group repository under the GLC-INVESTMENT folder.</w:t>
      </w:r>
    </w:p>
    <w:p>
      <w:pPr>
        <w:pStyle w:val="Heading2"/>
      </w:pPr>
      <w:r>
        <w:t>3.4 Open issues and unknowns</w:t>
      </w:r>
    </w:p>
    <w:p>
      <w:r>
        <w:t>Open issues and unknowns for GLC Investment Arm as it stands on the working dataset for this investment policy statement. Reference figures and supporting tabs are stored alongside this document in the Group repository under the GLC-INVESTMENT folder.</w:t>
      </w:r>
    </w:p>
    <w:p>
      <w:pPr>
        <w:pStyle w:val="Heading1"/>
      </w:pPr>
      <w:r>
        <w:t>4. Recommended Actions</w:t>
      </w:r>
    </w:p>
    <w:p>
      <w:pPr>
        <w:pStyle w:val="ListBullet"/>
      </w:pPr>
      <w:r>
        <w:t>Confirm the investment policy statement narrative with the GLC Investment Arm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GLC_01_Investment_Portfolio.xlsx</w:t>
      </w:r>
    </w:p>
    <w:p>
      <w:pPr>
        <w:pStyle w:val="ListBullet"/>
      </w:pPr>
      <w:r>
        <w:t>GLC_02_Investment_Policy_Statement.docx</w:t>
      </w:r>
    </w:p>
    <w:p>
      <w:pPr>
        <w:pStyle w:val="ListBullet"/>
      </w:pPr>
      <w:r>
        <w:t>GLC_03_Governance_Charter.docx</w:t>
      </w:r>
    </w:p>
    <w:p>
      <w:pPr>
        <w:pStyle w:val="ListBullet"/>
      </w:pPr>
      <w:r>
        <w:t>GLC_04_Strategic_Holdings_Review.docx</w:t>
      </w:r>
    </w:p>
    <w:p>
      <w:pPr>
        <w:pStyle w:val="ListBullet"/>
      </w:pPr>
      <w:r>
        <w:t>GLC_05_Ministerial_Briefing_Pack.docx</w:t>
      </w:r>
    </w:p>
    <w:p>
      <w:pPr>
        <w:pStyle w:val="ListBullet"/>
      </w:pPr>
      <w:r>
        <w:t>GLC_06_Peer_Benchmark_Sovereign_Investors.xlsx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