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Government Agency — Programme Governance Manual</w:t>
      </w:r>
    </w:p>
    <w:p>
      <w:r>
        <w:rPr>
          <w:i/>
        </w:rPr>
        <w:t>Document owner: Government Agency Group Office</w:t>
      </w:r>
      <w:r>
        <w:rPr>
          <w:i/>
        </w:rPr>
        <w:t xml:space="preserve"> · Version: FY2025-A</w:t>
      </w:r>
    </w:p>
    <w:p>
      <w:pPr>
        <w:pStyle w:val="Heading1"/>
      </w:pPr>
      <w:r>
        <w:t>1. Executive Summary</w:t>
      </w:r>
    </w:p>
    <w:p>
      <w:r>
        <w:t>FY2025 budget absorption is only 58% with 14 open BPK audit findings — DPR Working Committee hearing in 7 days</w:t>
      </w:r>
    </w:p>
    <w:p>
      <w:r>
        <w:t>This programme governance manual is grounded on the FY2025 working dataset for Government Agency and informs the Board, the regulator, and the operating committee of the corrective actions agreed under the recovery plan.</w:t>
      </w:r>
    </w:p>
    <w:p>
      <w:pPr>
        <w:pStyle w:val="Heading1"/>
      </w:pPr>
      <w:r>
        <w:t>2. Scenario &amp; Background</w:t>
      </w:r>
    </w:p>
    <w:p>
      <w:r>
        <w:t>Zava Government Services Malaysia is a federal modernisation agency mandated to deliver 7 flagship public-service reform programmes across digital identity, citizen-services consolidation, civil-service capability, and frontline delivery in health and education. As of end-November the FY2025 budget absorption sits at only 58% against the 85% target, 14 BPK audit findings remain open (3 of them rated significant), KPK has flagged 2 procurement files for closer review, and the DPR Working Committee on Public Service Reform has called the Director General to a public hearing in 7 days. The team has 6 source documents and must produce: a programme-by-programme absorption recovery plan, a DPR hearing pack, a BPK closure tracker, a KPK procurement assurance brief, and a redesigned governance manual that brings sponsor accountability and audit response into a single cycle. No commercial language — public outcomes, fiscal stewardship, citizen impact.</w:t>
      </w:r>
    </w:p>
    <w:p>
      <w:r>
        <w:t>The team has triangulated Government Agency's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Government Agency as it stands on the working dataset for this programme governance manual. Reference figures and supporting tabs are stored alongside this document in the Group repository under the GOVERNMENT-AGENCY folder.</w:t>
      </w:r>
    </w:p>
    <w:p>
      <w:pPr>
        <w:pStyle w:val="Heading2"/>
      </w:pPr>
      <w:r>
        <w:t>3.2 Key drivers</w:t>
      </w:r>
    </w:p>
    <w:p>
      <w:r>
        <w:t>Key drivers for Government Agency as it stands on the working dataset for this programme governance manual. Reference figures and supporting tabs are stored alongside this document in the Group repository under the GOVERNMENT-AGENCY folder.</w:t>
      </w:r>
    </w:p>
    <w:p>
      <w:pPr>
        <w:pStyle w:val="Heading2"/>
      </w:pPr>
      <w:r>
        <w:t>3.3 Sensitivities and assumptions</w:t>
      </w:r>
    </w:p>
    <w:p>
      <w:r>
        <w:t>Sensitivities and assumptions for Government Agency as it stands on the working dataset for this programme governance manual. Reference figures and supporting tabs are stored alongside this document in the Group repository under the GOVERNMENT-AGENCY folder.</w:t>
      </w:r>
    </w:p>
    <w:p>
      <w:pPr>
        <w:pStyle w:val="Heading2"/>
      </w:pPr>
      <w:r>
        <w:t>3.4 Open issues and unknowns</w:t>
      </w:r>
    </w:p>
    <w:p>
      <w:r>
        <w:t>Open issues and unknowns for Government Agency as it stands on the working dataset for this programme governance manual. Reference figures and supporting tabs are stored alongside this document in the Group repository under the GOVERNMENT-AGENCY folder.</w:t>
      </w:r>
    </w:p>
    <w:p>
      <w:pPr>
        <w:pStyle w:val="Heading1"/>
      </w:pPr>
      <w:r>
        <w:t>4. Recommended Actions</w:t>
      </w:r>
    </w:p>
    <w:p>
      <w:pPr>
        <w:pStyle w:val="ListBullet"/>
      </w:pPr>
      <w:r>
        <w:t>Confirm the programme governance manual narrative with the Government Agency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GOV_01_Programme_Performance.xlsx</w:t>
      </w:r>
    </w:p>
    <w:p>
      <w:pPr>
        <w:pStyle w:val="ListBullet"/>
      </w:pPr>
      <w:r>
        <w:t>GOV_02_Programme_Governance_Manual.docx</w:t>
      </w:r>
    </w:p>
    <w:p>
      <w:pPr>
        <w:pStyle w:val="ListBullet"/>
      </w:pPr>
      <w:r>
        <w:t>GOV_03_Public_Service_Reform_Policy.docx</w:t>
      </w:r>
    </w:p>
    <w:p>
      <w:pPr>
        <w:pStyle w:val="ListBullet"/>
      </w:pPr>
      <w:r>
        <w:t>GOV_04_BPK_Audit_Findings.docx</w:t>
      </w:r>
    </w:p>
    <w:p>
      <w:pPr>
        <w:pStyle w:val="ListBullet"/>
      </w:pPr>
      <w:r>
        <w:t>GOV_05_DPR_Hearing_Brief.docx</w:t>
      </w:r>
    </w:p>
    <w:p>
      <w:pPr>
        <w:pStyle w:val="ListBullet"/>
      </w:pPr>
      <w:r>
        <w:t>GOV_06_KPK_Compliance_Tracker.xlsx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