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Hospital Network — Clinical Governance Policy</w:t>
      </w:r>
    </w:p>
    <w:p>
      <w:r>
        <w:rPr>
          <w:i/>
        </w:rPr>
        <w:t>Document owner: Hospital Network Group Office</w:t>
      </w:r>
      <w:r>
        <w:rPr>
          <w:i/>
        </w:rPr>
        <w:t xml:space="preserve"> · Version: FY2025-A</w:t>
      </w:r>
    </w:p>
    <w:p>
      <w:pPr>
        <w:pStyle w:val="Heading1"/>
      </w:pPr>
      <w:r>
        <w:t>1. Executive Summary</w:t>
      </w:r>
    </w:p>
    <w:p>
      <w:r>
        <w:t>MOH readiness at risk as bed occupancy hits 92% and JCI score slips to 78%.</w:t>
      </w:r>
    </w:p>
    <w:p>
      <w:r>
        <w:t>This clinical governance policy is grounded on the FY2025 working dataset for Hospital Network and informs the Board, the regulator, and the operating committee of the corrective actions agreed under the recovery plan.</w:t>
      </w:r>
    </w:p>
    <w:p>
      <w:pPr>
        <w:pStyle w:val="Heading1"/>
      </w:pPr>
      <w:r>
        <w:t>2. Scenario &amp; Background</w:t>
      </w:r>
    </w:p>
    <w:p>
      <w:r>
        <w:t>Zava Health Malaysia runs nine tertiary and secondary hospitals across Klang Valley, Penang, Johor, and East Malaysia, with linked referral pathways into Indonesia (operating similarly to **IHH Healthcare**, **KPJ Healthcare**, **Sunway Medical**, and **Columbia Asia Hospitals**). Group revenue is tracking MYR 1.92 billion, but average bed occupancy has surged to 92% while OT utilisation has become uneven, ranging from 54% to 88% across sites. The Department P&amp;L sheet shows oncology and emergency medicine protecting top-line growth while two legacy medical wards are now EBITDA-negative. The Group Finance Manager — Nurul-style profile (post-IHH-immersion reference) — is also chasing month-end close acceleration, doctor-fee reconciliation, and BPJS/insurer billing variance recovery. Patient volumes are rising 11% year on year, yet the JCI Compliance Score sheet shows medication safety, discharge turnaround, and hand-hygiene audit performance all below internal threshold. A Ministry of Health Malaysia review is due in nine weeks, and the Board wants assurance that clinical governance controls in HC_02_Clinical_Governance_Policy.docx are being translated into daily operating discipline. Management is also weighing whether to defer one ward refurbishment after MedTech procurement delays. The Indonesian affiliate is facing similar referral pressure and is watching the group response for Kemenkes reporting alignment.</w:t>
      </w:r>
    </w:p>
    <w:p>
      <w:r>
        <w:t>The team has triangulated Hospital Network's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Hospital Network as it stands on the working dataset for this clinical governance policy. Reference figures and supporting tabs are stored alongside this document in the Group repository under the HOSPITAL-NETWORK folder.</w:t>
      </w:r>
    </w:p>
    <w:p>
      <w:pPr>
        <w:pStyle w:val="Heading2"/>
      </w:pPr>
      <w:r>
        <w:t>3.2 Key drivers</w:t>
      </w:r>
    </w:p>
    <w:p>
      <w:r>
        <w:t>Key drivers for Hospital Network as it stands on the working dataset for this clinical governance policy. Reference figures and supporting tabs are stored alongside this document in the Group repository under the HOSPITAL-NETWORK folder.</w:t>
      </w:r>
    </w:p>
    <w:p>
      <w:pPr>
        <w:pStyle w:val="Heading2"/>
      </w:pPr>
      <w:r>
        <w:t>3.3 Sensitivities and assumptions</w:t>
      </w:r>
    </w:p>
    <w:p>
      <w:r>
        <w:t>Sensitivities and assumptions for Hospital Network as it stands on the working dataset for this clinical governance policy. Reference figures and supporting tabs are stored alongside this document in the Group repository under the HOSPITAL-NETWORK folder.</w:t>
      </w:r>
    </w:p>
    <w:p>
      <w:pPr>
        <w:pStyle w:val="Heading2"/>
      </w:pPr>
      <w:r>
        <w:t>3.4 Open issues and unknowns</w:t>
      </w:r>
    </w:p>
    <w:p>
      <w:r>
        <w:t>Open issues and unknowns for Hospital Network as it stands on the working dataset for this clinical governance policy. Reference figures and supporting tabs are stored alongside this document in the Group repository under the HOSPITAL-NETWORK folder.</w:t>
      </w:r>
    </w:p>
    <w:p>
      <w:pPr>
        <w:pStyle w:val="Heading1"/>
      </w:pPr>
      <w:r>
        <w:t>4. Recommended Actions</w:t>
      </w:r>
    </w:p>
    <w:p>
      <w:pPr>
        <w:pStyle w:val="ListBullet"/>
      </w:pPr>
      <w:r>
        <w:t>Confirm the clinical governance policy narrative with the Hospital Network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HC_01_Hospital_Operations.xlsx</w:t>
      </w:r>
    </w:p>
    <w:p>
      <w:pPr>
        <w:pStyle w:val="ListBullet"/>
      </w:pPr>
      <w:r>
        <w:t>HC_02_Clinical_Governance_Policy.docx</w:t>
      </w:r>
    </w:p>
    <w:p>
      <w:pPr>
        <w:pStyle w:val="ListBullet"/>
      </w:pPr>
      <w:r>
        <w:t>HC_03_Hospital_Strategy_Plan.docx</w:t>
      </w:r>
    </w:p>
    <w:p>
      <w:pPr>
        <w:pStyle w:val="ListBullet"/>
      </w:pPr>
      <w:r>
        <w:t>HC_04_Bed_Occupancy_Tracker.xlsx</w:t>
      </w:r>
    </w:p>
    <w:p>
      <w:pPr>
        <w:pStyle w:val="ListBullet"/>
      </w:pPr>
      <w:r>
        <w:t>HC_05_Patient_Safety_Audit.docx</w:t>
      </w:r>
    </w:p>
    <w:p>
      <w:pPr>
        <w:pStyle w:val="ListBullet"/>
      </w:pPr>
      <w:r>
        <w:t>HC_06_MOH_Compliance_Register.xlsx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