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Human Resources — People Policy Manual</w:t>
      </w:r>
    </w:p>
    <w:p>
      <w:r>
        <w:rPr>
          <w:i/>
        </w:rPr>
        <w:t>Document owner: 👥 Human Resources Group Office</w:t>
      </w:r>
      <w:r>
        <w:rPr>
          <w:i/>
        </w:rPr>
        <w:t xml:space="preserve"> · Version: FY2025-A</w:t>
      </w:r>
    </w:p>
    <w:p>
      <w:pPr>
        <w:pStyle w:val="Heading1"/>
      </w:pPr>
      <w:r>
        <w:t>1. Executive Summary</w:t>
      </w:r>
    </w:p>
    <w:p>
      <w:r>
        <w:t>Q3 attrition reached 24%% on a 3,200 headcount, onboarding backlog at 180 hires — CHRO emergency Talent Council in 72 hours.</w:t>
      </w:r>
    </w:p>
    <w:p>
      <w:r>
        <w:t>This people policy manual is grounded on the FY2025 working dataset for 👥 Human Resources and informs the Board, the regulator, and the operating committee of the corrective actions agreed under the recovery plan.</w:t>
      </w:r>
    </w:p>
    <w:p>
      <w:pPr>
        <w:pStyle w:val="Heading1"/>
      </w:pPr>
      <w:r>
        <w:t>2. Scenario &amp; Background</w:t>
      </w:r>
    </w:p>
    <w:p>
      <w:r>
        <w:t>You are the Group CHRO of Zava Group (3,200 employees across Malaysia, Indonesia, Singapore). Q3 attrition has spiked to 24%% (vs 12%% target), concentrated in Tech and Customer Operations. 180 approved hires remain in an onboarding backlog due to process bottlenecks. 6 critical leadership roles are unfilled &gt;90 days. Compensation benchmarks show 8-15%% below market for key bands. BPJS/EPF/SOCSO compliance audits are pending. The Board has called an emergency Talent Council in 72 hours — you must present a retention war plan, hiring blitz roadmap, and compensation reset proposal backed by data.</w:t>
      </w:r>
    </w:p>
    <w:p>
      <w:r>
        <w:t>The team has triangulated 👥 Human Resources's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Human Resources as it stands on the working dataset for this people policy manual. Reference figures and supporting tabs are stored alongside this document in the Group repository under the DEPT-HR folder.</w:t>
      </w:r>
    </w:p>
    <w:p>
      <w:pPr>
        <w:pStyle w:val="Heading2"/>
      </w:pPr>
      <w:r>
        <w:t>3.2 Key drivers</w:t>
      </w:r>
    </w:p>
    <w:p>
      <w:r>
        <w:t>Key drivers for 👥 Human Resources as it stands on the working dataset for this people policy manual. Reference figures and supporting tabs are stored alongside this document in the Group repository under the DEPT-HR folder.</w:t>
      </w:r>
    </w:p>
    <w:p>
      <w:pPr>
        <w:pStyle w:val="Heading2"/>
      </w:pPr>
      <w:r>
        <w:t>3.3 Sensitivities and assumptions</w:t>
      </w:r>
    </w:p>
    <w:p>
      <w:r>
        <w:t>Sensitivities and assumptions for 👥 Human Resources as it stands on the working dataset for this people policy manual. Reference figures and supporting tabs are stored alongside this document in the Group repository under the DEPT-HR folder.</w:t>
      </w:r>
    </w:p>
    <w:p>
      <w:pPr>
        <w:pStyle w:val="Heading2"/>
      </w:pPr>
      <w:r>
        <w:t>3.4 Open issues and unknowns</w:t>
      </w:r>
    </w:p>
    <w:p>
      <w:r>
        <w:t>Open issues and unknowns for 👥 Human Resources as it stands on the working dataset for this people policy manual. Reference figures and supporting tabs are stored alongside this document in the Group repository under the DEPT-HR folder.</w:t>
      </w:r>
    </w:p>
    <w:p>
      <w:pPr>
        <w:pStyle w:val="Heading1"/>
      </w:pPr>
      <w:r>
        <w:t>4. Recommended Actions</w:t>
      </w:r>
    </w:p>
    <w:p>
      <w:pPr>
        <w:pStyle w:val="ListBullet"/>
      </w:pPr>
      <w:r>
        <w:t>Confirm the people policy manual narrative with the 👥 Human Resources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HR_01_Workforce_Analytics.xlsx</w:t>
      </w:r>
    </w:p>
    <w:p>
      <w:pPr>
        <w:pStyle w:val="ListBullet"/>
      </w:pPr>
      <w:r>
        <w:t>HR_02_People_Policy_Manual.docx</w:t>
      </w:r>
    </w:p>
    <w:p>
      <w:pPr>
        <w:pStyle w:val="ListBullet"/>
      </w:pPr>
      <w:r>
        <w:t>HR_03_Talent_Strategy.docx</w:t>
      </w:r>
    </w:p>
    <w:p>
      <w:pPr>
        <w:pStyle w:val="ListBullet"/>
      </w:pPr>
      <w:r>
        <w:t>HR_04_Attrition_Risk_Register.xlsx</w:t>
      </w:r>
    </w:p>
    <w:p>
      <w:pPr>
        <w:pStyle w:val="ListBullet"/>
      </w:pPr>
      <w:r>
        <w:t>HR_05_Compensation_Benchmark.xlsx</w:t>
      </w:r>
    </w:p>
    <w:p>
      <w:pPr>
        <w:pStyle w:val="ListBullet"/>
      </w:pPr>
      <w:r>
        <w:t>HR_06_Talent_Council_Charter.docx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