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Hotel &amp; Resort — Revenue Management Policy</w:t>
      </w:r>
    </w:p>
    <w:p>
      <w:r>
        <w:rPr>
          <w:i/>
        </w:rPr>
        <w:t>Document owner: Hotel &amp; Resort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RevPAR slips at two flagship resorts, OTA commissions squeeze margin, and a Capex backlog meets an owner asset-management dispute.</w:t>
      </w:r>
    </w:p>
    <w:p>
      <w:r>
        <w:t>This revenue management policy is grounded on the FY2025 working dataset for Hotel &amp; Resort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Hotels Malaysia is a Malaysian-listed hospitality group operating 14 properties across Indonesia (Bali, Lombok, Yogyakarta, Jakarta, Bintan), Malaysia and Vietnam — a mix of owned, leased, and third-party managed assets totalling 3,800 rooms and 9 F&amp;B outlets per cluster. Group RevPAR fell 11% in the last quarter, two flagship resorts in Bali and Lombok are running 14-18% behind budget on RevPAR, OTA commissions have crept from 18% to 23% of net room revenue after recent re-tier changes by the two largest OTAs, a Capex maintenance backlog at three properties is now flagged Red on brand standards audit by Kemenparekraf and the franchise auditor, an owner of two managed properties has triggered an asset-management dispute over management fees and renovation pacing, and Bursa Malaysia has asked for a clarification after a sharp OTA-related disclosure from a regional peer. BPS tourism arrivals data show domestic short-haul demand softening into the September shoulder. The Group MD walks into a Board commercial and asset-management review in 7 days. The MD needs a defensible operations and commercial briefing pack, property-by-property RevPAR variance, OTA commission bridge, Capex re-prioritisation plan, owner holding lines, and a 90-day commercial and brand stabilisation programme.</w:t>
      </w:r>
    </w:p>
    <w:p>
      <w:r>
        <w:t>The team has triangulated Hotel &amp; Resort's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Hotel &amp; Resort as it stands on the working dataset for this revenue management policy. Reference figures and supporting tabs are stored alongside this document in the Group repository under the HOTEL-RESORT folder.</w:t>
      </w:r>
    </w:p>
    <w:p>
      <w:pPr>
        <w:pStyle w:val="Heading2"/>
      </w:pPr>
      <w:r>
        <w:t>3.2 Key drivers</w:t>
      </w:r>
    </w:p>
    <w:p>
      <w:r>
        <w:t>Key drivers for Hotel &amp; Resort as it stands on the working dataset for this revenue management policy. Reference figures and supporting tabs are stored alongside this document in the Group repository under the HOTEL-RESORT folder.</w:t>
      </w:r>
    </w:p>
    <w:p>
      <w:pPr>
        <w:pStyle w:val="Heading2"/>
      </w:pPr>
      <w:r>
        <w:t>3.3 Sensitivities and assumptions</w:t>
      </w:r>
    </w:p>
    <w:p>
      <w:r>
        <w:t>Sensitivities and assumptions for Hotel &amp; Resort as it stands on the working dataset for this revenue management policy. Reference figures and supporting tabs are stored alongside this document in the Group repository under the HOTEL-RESORT folder.</w:t>
      </w:r>
    </w:p>
    <w:p>
      <w:pPr>
        <w:pStyle w:val="Heading2"/>
      </w:pPr>
      <w:r>
        <w:t>3.4 Open issues and unknowns</w:t>
      </w:r>
    </w:p>
    <w:p>
      <w:r>
        <w:t>Open issues and unknowns for Hotel &amp; Resort as it stands on the working dataset for this revenue management policy. Reference figures and supporting tabs are stored alongside this document in the Group repository under the HOTEL-RESORT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revenue management policy narrative with the Hotel &amp; Resort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HTL_01_Property_Performance.xlsx</w:t>
      </w:r>
    </w:p>
    <w:p>
      <w:pPr>
        <w:pStyle w:val="ListBullet"/>
      </w:pPr>
      <w:r>
        <w:t>HTL_02_Brand_Standards_Manual.docx</w:t>
      </w:r>
    </w:p>
    <w:p>
      <w:pPr>
        <w:pStyle w:val="ListBullet"/>
      </w:pPr>
      <w:r>
        <w:t>HTL_03_Revenue_Management_Policy.docx</w:t>
      </w:r>
    </w:p>
    <w:p>
      <w:pPr>
        <w:pStyle w:val="ListBullet"/>
      </w:pPr>
      <w:r>
        <w:t>HTL_04_Capex_Maintenance_Pipeline.xlsx</w:t>
      </w:r>
    </w:p>
    <w:p>
      <w:pPr>
        <w:pStyle w:val="ListBullet"/>
      </w:pPr>
      <w:r>
        <w:t>HTL_05_OTA_Contract_Tracker.xlsx</w:t>
      </w:r>
    </w:p>
    <w:p>
      <w:pPr>
        <w:pStyle w:val="ListBullet"/>
      </w:pPr>
      <w:r>
        <w:t>HTL_06_Owner_Asset_Management_Brief.docx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