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Investment Banking — Client Relationship Map</w:t>
      </w:r>
    </w:p>
    <w:p>
      <w:r>
        <w:rPr>
          <w:i/>
        </w:rPr>
        <w:t>Document owner: Investment Banking Group Office</w:t>
      </w:r>
      <w:r>
        <w:rPr>
          <w:i/>
        </w:rPr>
        <w:t xml:space="preserve"> · Version: FY2025-A</w:t>
      </w:r>
    </w:p>
    <w:p>
      <w:pPr>
        <w:pStyle w:val="Heading1"/>
      </w:pPr>
      <w:r>
        <w:t>1. Executive Summary</w:t>
      </w:r>
    </w:p>
    <w:p>
      <w:r>
        <w:t>Three Bursa IPO mandates are slipping, SC clarification is rising, and fee concentration threatens FY2026 earnings.</w:t>
      </w:r>
    </w:p>
    <w:p>
      <w:r>
        <w:t>This client relationship map is grounded on the FY2025 working dataset for Investment Banking and informs the Board, the regulator, and the operating committee of the corrective actions agreed under the recovery plan.</w:t>
      </w:r>
    </w:p>
    <w:p>
      <w:pPr>
        <w:pStyle w:val="Heading1"/>
      </w:pPr>
      <w:r>
        <w:t>2. Scenario &amp; Background</w:t>
      </w:r>
    </w:p>
    <w:p>
      <w:r>
        <w:t>Zava Capital Malaysia is a Malaysian investment bank with equity capital markets, advisory, and fund management licences (operating similarly to **Kenanga Investment Bank**, Maybank Investment Bank, AmInvestment Bank, RHB Investment Bank, and CIMB Investment Bank). Three Bursa Malaysia IPO mandates dominate the next two quarters' fee plan, but two issuers are facing valuation pushback from cornerstone investors, slower legal diligence, and fresh disclosure questions from the Securities Commission Malaysia. The proposed ESG fund launch must clear tighter sustainability-labelling scrutiny, with material greenwashing exposure if the methodology is not tightened before distribution. Treasury has flagged settlement and FX timing pressure if a cross-border transaction closes while Bank Negara Malaysia keeps liquidity conditions tight. The Indonesian affiliate, Zava Capital Indonesia, is managing similar execution risk as OJK review comments slow an IDX pipeline. Senior management has ten days to decide which mandates to defend, which clients need partner-level intervention, and whether the ESG fund launch should proceed on schedule.</w:t>
      </w:r>
    </w:p>
    <w:p>
      <w:r>
        <w:t>The team has triangulated Investment Banking's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Investment Banking as it stands on the working dataset for this client relationship map. Reference figures and supporting tabs are stored alongside this document in the Group repository under the INVESTMENT-BANKING folder.</w:t>
      </w:r>
    </w:p>
    <w:p>
      <w:pPr>
        <w:pStyle w:val="Heading2"/>
      </w:pPr>
      <w:r>
        <w:t>3.2 Key drivers</w:t>
      </w:r>
    </w:p>
    <w:p>
      <w:r>
        <w:t>Key drivers for Investment Banking as it stands on the working dataset for this client relationship map. Reference figures and supporting tabs are stored alongside this document in the Group repository under the INVESTMENT-BANKING folder.</w:t>
      </w:r>
    </w:p>
    <w:p>
      <w:pPr>
        <w:pStyle w:val="Heading2"/>
      </w:pPr>
      <w:r>
        <w:t>3.3 Sensitivities and assumptions</w:t>
      </w:r>
    </w:p>
    <w:p>
      <w:r>
        <w:t>Sensitivities and assumptions for Investment Banking as it stands on the working dataset for this client relationship map. Reference figures and supporting tabs are stored alongside this document in the Group repository under the INVESTMENT-BANKING folder.</w:t>
      </w:r>
    </w:p>
    <w:p>
      <w:pPr>
        <w:pStyle w:val="Heading2"/>
      </w:pPr>
      <w:r>
        <w:t>3.4 Open issues and unknowns</w:t>
      </w:r>
    </w:p>
    <w:p>
      <w:r>
        <w:t>Open issues and unknowns for Investment Banking as it stands on the working dataset for this client relationship map. Reference figures and supporting tabs are stored alongside this document in the Group repository under the INVESTMENT-BANKING folder.</w:t>
      </w:r>
    </w:p>
    <w:p>
      <w:pPr>
        <w:pStyle w:val="Heading1"/>
      </w:pPr>
      <w:r>
        <w:t>4. Recommended Actions</w:t>
      </w:r>
    </w:p>
    <w:p>
      <w:pPr>
        <w:pStyle w:val="ListBullet"/>
      </w:pPr>
      <w:r>
        <w:t>Confirm the client relationship map narrative with the Investment Banking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IB_01_Deal_Pipeline.xlsx</w:t>
      </w:r>
    </w:p>
    <w:p>
      <w:pPr>
        <w:pStyle w:val="ListBullet"/>
      </w:pPr>
      <w:r>
        <w:t>IB_02_Client_Relationship_Map.docx</w:t>
      </w:r>
    </w:p>
    <w:p>
      <w:pPr>
        <w:pStyle w:val="ListBullet"/>
      </w:pPr>
      <w:r>
        <w:t>IB_03_Regulatory_Compliance_Pack.docx</w:t>
      </w:r>
    </w:p>
    <w:p>
      <w:pPr>
        <w:pStyle w:val="ListBullet"/>
      </w:pPr>
      <w:r>
        <w:t>IB_04_ESG_Fund_Methodology.docx</w:t>
      </w:r>
    </w:p>
    <w:p>
      <w:pPr>
        <w:pStyle w:val="ListBullet"/>
      </w:pPr>
      <w:r>
        <w:t>IB_05_Fee_Revenue_Forecast.xlsx</w:t>
      </w:r>
    </w:p>
    <w:p>
      <w:pPr>
        <w:pStyle w:val="ListBullet"/>
      </w:pPr>
      <w:r>
        <w:t>IB_06_Cornerstone_Investor_Pack.docx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