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 Investor Relations — IR Disclosure Playbook</w:t>
      </w:r>
    </w:p>
    <w:p>
      <w:r>
        <w:rPr>
          <w:i/>
        </w:rPr>
        <w:t>Document owner: 📈 Investor Relations Group Office</w:t>
      </w:r>
      <w:r>
        <w:rPr>
          <w:i/>
        </w:rPr>
        <w:t xml:space="preserve"> · Version: FY2025-A</w:t>
      </w:r>
    </w:p>
    <w:p>
      <w:pPr>
        <w:pStyle w:val="Heading1"/>
      </w:pPr>
      <w:r>
        <w:t>1. Executive Summary</w:t>
      </w:r>
    </w:p>
    <w:p>
      <w:r>
        <w:t>Analyst consensus is drifting below management guidance, two sell-side downgrades are circulating, and the next quarterly results call is two weeks away.</w:t>
      </w:r>
    </w:p>
    <w:p>
      <w:r>
        <w:t>This ir disclosure playbook is grounded on the FY2025 working dataset for 📈 Investor Relations and informs the Board, the regulator, and the operating committee of the corrective actions agreed under the recovery plan.</w:t>
      </w:r>
    </w:p>
    <w:p>
      <w:pPr>
        <w:pStyle w:val="Heading1"/>
      </w:pPr>
      <w:r>
        <w:t>2. Scenario &amp; Background</w:t>
      </w:r>
    </w:p>
    <w:p>
      <w:r>
        <w:t>The Investor Relations Office at Zava Group is trying to close the gap between management guidance and drifting analyst consensus ahead of the Q4 FY2026 results call. Sell-side consensus EBITDA has slipped 6.4% below management guidance over 8 weeks, two of the eight covering analysts have moved to NEUTRAL with one HOLD downgrade circulating, and the share price has underperformed the FBM KLCI by 9 points and IDX Composite by 7 points year-to-date. The Head of Investor Relations needs a single RAG tracker tying analyst sentiment, peer benchmarks, and disclosure-watchlist items together, plus a sharper Q4 messaging arc that aligns the Bursa Malaysia announcement, the IDX disclosure, the analyst Q&amp;A, and the buy-side roadshow within 14 days, ahead of the Investor Relations Steering Committee where the Group CFO will probe consensus-management discipline.</w:t>
      </w:r>
    </w:p>
    <w:p>
      <w:r>
        <w:t>The team has triangulated 📈 Investor Relations's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 Investor Relations as it stands on the working dataset for this ir disclosure playbook. Reference figures and supporting tabs are stored alongside this document in the Group repository under the DEPT-INVESTOR-RELATIONS folder.</w:t>
      </w:r>
    </w:p>
    <w:p>
      <w:pPr>
        <w:pStyle w:val="Heading2"/>
      </w:pPr>
      <w:r>
        <w:t>3.2 Key drivers</w:t>
      </w:r>
    </w:p>
    <w:p>
      <w:r>
        <w:t>Key drivers for 📈 Investor Relations as it stands on the working dataset for this ir disclosure playbook. Reference figures and supporting tabs are stored alongside this document in the Group repository under the DEPT-INVESTOR-RELATIONS folder.</w:t>
      </w:r>
    </w:p>
    <w:p>
      <w:pPr>
        <w:pStyle w:val="Heading2"/>
      </w:pPr>
      <w:r>
        <w:t>3.3 Sensitivities and assumptions</w:t>
      </w:r>
    </w:p>
    <w:p>
      <w:r>
        <w:t>Sensitivities and assumptions for 📈 Investor Relations as it stands on the working dataset for this ir disclosure playbook. Reference figures and supporting tabs are stored alongside this document in the Group repository under the DEPT-INVESTOR-RELATIONS folder.</w:t>
      </w:r>
    </w:p>
    <w:p>
      <w:pPr>
        <w:pStyle w:val="Heading2"/>
      </w:pPr>
      <w:r>
        <w:t>3.4 Open issues and unknowns</w:t>
      </w:r>
    </w:p>
    <w:p>
      <w:r>
        <w:t>Open issues and unknowns for 📈 Investor Relations as it stands on the working dataset for this ir disclosure playbook. Reference figures and supporting tabs are stored alongside this document in the Group repository under the DEPT-INVESTOR-RELATIONS folder.</w:t>
      </w:r>
    </w:p>
    <w:p>
      <w:pPr>
        <w:pStyle w:val="Heading1"/>
      </w:pPr>
      <w:r>
        <w:t>4. Recommended Actions</w:t>
      </w:r>
    </w:p>
    <w:p>
      <w:pPr>
        <w:pStyle w:val="ListBullet"/>
      </w:pPr>
      <w:r>
        <w:t>Confirm the ir disclosure playbook narrative with the 📈 Investor Relations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IR_01_Analyst_Consensus_Tracker.xlsx</w:t>
      </w:r>
    </w:p>
    <w:p>
      <w:pPr>
        <w:pStyle w:val="ListBullet"/>
      </w:pPr>
      <w:r>
        <w:t>IR_02_Peer_Share_Price_Tracker.xlsx</w:t>
      </w:r>
    </w:p>
    <w:p>
      <w:pPr>
        <w:pStyle w:val="ListBullet"/>
      </w:pPr>
      <w:r>
        <w:t>IR_03_IR_Disclosure_Playbook.docx</w:t>
      </w:r>
    </w:p>
    <w:p>
      <w:pPr>
        <w:pStyle w:val="ListBullet"/>
      </w:pPr>
      <w:r>
        <w:t>IR_04_Analyst_Engagement_Standards.docx</w:t>
      </w:r>
    </w:p>
    <w:p>
      <w:pPr>
        <w:pStyle w:val="ListBullet"/>
      </w:pPr>
      <w:r>
        <w:t>IR_05_Quarterly_Results_Script.docx</w:t>
      </w:r>
    </w:p>
    <w:p>
      <w:pPr>
        <w:pStyle w:val="ListBullet"/>
      </w:pPr>
      <w:r>
        <w:t>IR_06_Roadshow_Q_and_A_Prep.docx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