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📈 Investor Relations — Roadshow Q and A Prep</w:t>
      </w:r>
    </w:p>
    <w:p>
      <w:r>
        <w:rPr>
          <w:i/>
        </w:rPr>
        <w:t>Document owner: 📈 Investor Relations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Analyst consensus is drifting below management guidance, two sell-side downgrades are circulating, and the next quarterly results call is two weeks away.</w:t>
      </w:r>
    </w:p>
    <w:p>
      <w:r>
        <w:t>This roadshow q and a prep is grounded on the FY2025 working dataset for 📈 Investor Relations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Investor Relations Office at Zava Group is trying to close the gap between management guidance and drifting analyst consensus ahead of the Q4 FY2026 results call. Sell-side consensus EBITDA has slipped 6.4% below management guidance over 8 weeks, two of the eight covering analysts have moved to NEUTRAL with one HOLD downgrade circulating, and the share price has underperformed the FBM KLCI by 9 points and IDX Composite by 7 points year-to-date. The Head of Investor Relations needs a single RAG tracker tying analyst sentiment, peer benchmarks, and disclosure-watchlist items together, plus a sharper Q4 messaging arc that aligns the Bursa Malaysia announcement, the IDX disclosure, the analyst Q&amp;A, and the buy-side roadshow within 14 days, ahead of the Investor Relations Steering Committee where the Group CFO will probe consensus-management discipline.</w:t>
      </w:r>
    </w:p>
    <w:p>
      <w:r>
        <w:t>The team has triangulated 📈 Investor Relations's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📈 Investor Relations as it stands on the working dataset for this roadshow q and a prep. Reference figures and supporting tabs are stored alongside this document in the Group repository under the DEPT-INVESTOR-RELATIONS folder.</w:t>
      </w:r>
    </w:p>
    <w:p>
      <w:pPr>
        <w:pStyle w:val="Heading2"/>
      </w:pPr>
      <w:r>
        <w:t>3.2 Key drivers</w:t>
      </w:r>
    </w:p>
    <w:p>
      <w:r>
        <w:t>Key drivers for 📈 Investor Relations as it stands on the working dataset for this roadshow q and a prep. Reference figures and supporting tabs are stored alongside this document in the Group repository under the DEPT-INVESTOR-RELATIONS folder.</w:t>
      </w:r>
    </w:p>
    <w:p>
      <w:pPr>
        <w:pStyle w:val="Heading2"/>
      </w:pPr>
      <w:r>
        <w:t>3.3 Sensitivities and assumptions</w:t>
      </w:r>
    </w:p>
    <w:p>
      <w:r>
        <w:t>Sensitivities and assumptions for 📈 Investor Relations as it stands on the working dataset for this roadshow q and a prep. Reference figures and supporting tabs are stored alongside this document in the Group repository under the DEPT-INVESTOR-RELATIONS folder.</w:t>
      </w:r>
    </w:p>
    <w:p>
      <w:pPr>
        <w:pStyle w:val="Heading2"/>
      </w:pPr>
      <w:r>
        <w:t>3.4 Open issues and unknowns</w:t>
      </w:r>
    </w:p>
    <w:p>
      <w:r>
        <w:t>Open issues and unknowns for 📈 Investor Relations as it stands on the working dataset for this roadshow q and a prep. Reference figures and supporting tabs are stored alongside this document in the Group repository under the DEPT-INVESTOR-RELATIONS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roadshow q and a prep narrative with the 📈 Investor Relations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IR_01_Analyst_Consensus_Tracker.xlsx</w:t>
      </w:r>
    </w:p>
    <w:p>
      <w:pPr>
        <w:pStyle w:val="ListBullet"/>
      </w:pPr>
      <w:r>
        <w:t>IR_02_Peer_Share_Price_Tracker.xlsx</w:t>
      </w:r>
    </w:p>
    <w:p>
      <w:pPr>
        <w:pStyle w:val="ListBullet"/>
      </w:pPr>
      <w:r>
        <w:t>IR_03_IR_Disclosure_Playbook.docx</w:t>
      </w:r>
    </w:p>
    <w:p>
      <w:pPr>
        <w:pStyle w:val="ListBullet"/>
      </w:pPr>
      <w:r>
        <w:t>IR_04_Analyst_Engagement_Standards.docx</w:t>
      </w:r>
    </w:p>
    <w:p>
      <w:pPr>
        <w:pStyle w:val="ListBullet"/>
      </w:pPr>
      <w:r>
        <w:t>IR_05_Quarterly_Results_Script.docx</w:t>
      </w:r>
    </w:p>
    <w:p>
      <w:pPr>
        <w:pStyle w:val="ListBullet"/>
      </w:pPr>
      <w:r>
        <w:t>IR_06_Roadshow_Q_and_A_Prep.docx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