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Islamic Banking — Sukuk Wakalah Plan</w:t>
      </w:r>
    </w:p>
    <w:p>
      <w:r>
        <w:rPr>
          <w:i/>
        </w:rPr>
        <w:t>Document owner: Islamic Banking Group Office</w:t>
      </w:r>
      <w:r>
        <w:rPr>
          <w:i/>
        </w:rPr>
        <w:t xml:space="preserve"> · Version: FY2025-A</w:t>
      </w:r>
    </w:p>
    <w:p>
      <w:pPr>
        <w:pStyle w:val="Heading1"/>
      </w:pPr>
      <w:r>
        <w:t>1. Executive Summary</w:t>
      </w:r>
    </w:p>
    <w:p>
      <w:r>
        <w:t>Stage 2 financing at 11.6% and GIA outflows threaten a MYR 2.4B sukuk plan before BNM review.</w:t>
      </w:r>
    </w:p>
    <w:p>
      <w:r>
        <w:t>This sukuk wakalah plan is grounded on the FY2025 working dataset for Islamic Banking and informs the Board, the regulator, and the operating committee of the corrective actions agreed under the recovery plan.</w:t>
      </w:r>
    </w:p>
    <w:p>
      <w:pPr>
        <w:pStyle w:val="Heading1"/>
      </w:pPr>
      <w:r>
        <w:t>2. Scenario &amp; Background</w:t>
      </w:r>
    </w:p>
    <w:p>
      <w:r>
        <w:t>Zava Islamic Bank Malaysia is a Malaysian Islamic bank listed on Bursa Malaysia with about 4,600 employees, MYR 31.4B in financing assets, and core Retail, SME, Treasury, Shariah Governance, and Wealth divisions serving more than 1.1 million customers. Stage 2 financing has risen to 11.6% of the book, gross impaired financing has edged up to 2.7%, and MYR 1.1B of General Investment Account balances have rolled off in the last two quarters as customers chase higher returns elsewhere. The Murabahah Book and Tawarruq Tracker tabs show stress in cash-line and dealer-financing portfolios, while the GIA Performance tab shows payout pressure that has widened the profit-distribution gap to 42 basis points. The bank is simultaneously preparing a MYR 2.4B Sukuk Wakalah programme, but the Shariah Committee has highlighted weaknesses in tawarruq documentation, wakalah fee recognition, and exception approvals on 14 large accounts. BNM has requested an IFSA-focused supervisory meeting in four weeks covering Shariah governance, displaced commercial risk, and treatment of management overlays. Finance and Treasury need one consistent narrative on liquidity resilience, customer fairness, and remediation timing before questions intensify from institutional investors, auditors, and the Board Risk and Shariah Committees.</w:t>
      </w:r>
    </w:p>
    <w:p>
      <w:r>
        <w:t>The team has triangulated Islamic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Islamic Banking as it stands on the working dataset for this sukuk wakalah plan. Reference figures and supporting tabs are stored alongside this document in the Group repository under the ISLAMIC-BANKING folder.</w:t>
      </w:r>
    </w:p>
    <w:p>
      <w:pPr>
        <w:pStyle w:val="Heading2"/>
      </w:pPr>
      <w:r>
        <w:t>3.2 Key drivers</w:t>
      </w:r>
    </w:p>
    <w:p>
      <w:r>
        <w:t>Key drivers for Islamic Banking as it stands on the working dataset for this sukuk wakalah plan. Reference figures and supporting tabs are stored alongside this document in the Group repository under the ISLAMIC-BANKING folder.</w:t>
      </w:r>
    </w:p>
    <w:p>
      <w:pPr>
        <w:pStyle w:val="Heading2"/>
      </w:pPr>
      <w:r>
        <w:t>3.3 Sensitivities and assumptions</w:t>
      </w:r>
    </w:p>
    <w:p>
      <w:r>
        <w:t>Sensitivities and assumptions for Islamic Banking as it stands on the working dataset for this sukuk wakalah plan. Reference figures and supporting tabs are stored alongside this document in the Group repository under the ISLAMIC-BANKING folder.</w:t>
      </w:r>
    </w:p>
    <w:p>
      <w:pPr>
        <w:pStyle w:val="Heading2"/>
      </w:pPr>
      <w:r>
        <w:t>3.4 Open issues and unknowns</w:t>
      </w:r>
    </w:p>
    <w:p>
      <w:r>
        <w:t>Open issues and unknowns for Islamic Banking as it stands on the working dataset for this sukuk wakalah plan. Reference figures and supporting tabs are stored alongside this document in the Group repository under the ISLAMIC-BANKING folder.</w:t>
      </w:r>
    </w:p>
    <w:p>
      <w:pPr>
        <w:pStyle w:val="Heading1"/>
      </w:pPr>
      <w:r>
        <w:t>4. Recommended Actions</w:t>
      </w:r>
    </w:p>
    <w:p>
      <w:pPr>
        <w:pStyle w:val="ListBullet"/>
      </w:pPr>
      <w:r>
        <w:t>Confirm the sukuk wakalah plan narrative with the Islamic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ISL_01_Financing_Portfolio.xlsx</w:t>
      </w:r>
    </w:p>
    <w:p>
      <w:pPr>
        <w:pStyle w:val="ListBullet"/>
      </w:pPr>
      <w:r>
        <w:t>ISL_02_Shariah_Governance_Report.docx</w:t>
      </w:r>
    </w:p>
    <w:p>
      <w:pPr>
        <w:pStyle w:val="ListBullet"/>
      </w:pPr>
      <w:r>
        <w:t>ISL_03_Islamic_Finance_Policy.docx</w:t>
      </w:r>
    </w:p>
    <w:p>
      <w:pPr>
        <w:pStyle w:val="ListBullet"/>
      </w:pPr>
      <w:r>
        <w:t>ISL_04_GIA_Performance_Tracker.xlsx</w:t>
      </w:r>
    </w:p>
    <w:p>
      <w:pPr>
        <w:pStyle w:val="ListBullet"/>
      </w:pPr>
      <w:r>
        <w:t>ISL_05_Sukuk_Wakalah_Plan.docx</w:t>
      </w:r>
    </w:p>
    <w:p>
      <w:pPr>
        <w:pStyle w:val="ListBullet"/>
      </w:pPr>
      <w:r>
        <w:t>ISL_06_Investor_QA_Islamic.docx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