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💻 IT &amp; Digital — Cyber Resilience Playbook</w:t>
      </w:r>
    </w:p>
    <w:p>
      <w:r>
        <w:rPr>
          <w:i/>
        </w:rPr>
        <w:t>Document owner: 💻 IT &amp; Digital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A P1 incident took 4 systems offline, the cyber posture score has dropped two bands, and a regulator-mandated tabletop exercise lands in 14 days.</w:t>
      </w:r>
    </w:p>
    <w:p>
      <w:r>
        <w:t>This cyber resilience playbook is grounded on the FY2025 working dataset for 💻 IT &amp; Digital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Group CIO Office at Zava is trying to recover from a P1 incident that took 4 trading and ERP systems offline for 9 hours, while the third-party cyber posture score has dropped from A- to B+ across two consecutive quarters and a BNM/OJK-aligned cyber tabletop exercise is scheduled in 14 days. Critical-system availability has slipped to 99.21% against a 99.95% target across the last 90 days, the FY2026 cyber-uplift programme is behind plan by MYR 38M, and BU CIOs disagree on which control gaps matter most. Leadership wants a single RAG tracker tying availability, cyber-posture trend, and incident-recovery progress together, and the IT &amp; Digital Steering Committee in 14 days needs a sharper line of sight from incident root cause to control owner, ahead of where the Group CFO and Group Risk Officer will probe resilience commitments.</w:t>
      </w:r>
    </w:p>
    <w:p>
      <w:r>
        <w:t>The team has triangulated 💻 IT &amp; Digital's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💻 IT &amp; Digital as it stands on the working dataset for this cyber resilience playbook. Reference figures and supporting tabs are stored alongside this document in the Group repository under the DEPT-IT-DIGITAL folder.</w:t>
      </w:r>
    </w:p>
    <w:p>
      <w:pPr>
        <w:pStyle w:val="Heading2"/>
      </w:pPr>
      <w:r>
        <w:t>3.2 Key drivers</w:t>
      </w:r>
    </w:p>
    <w:p>
      <w:r>
        <w:t>Key drivers for 💻 IT &amp; Digital as it stands on the working dataset for this cyber resilience playbook. Reference figures and supporting tabs are stored alongside this document in the Group repository under the DEPT-IT-DIGITAL folder.</w:t>
      </w:r>
    </w:p>
    <w:p>
      <w:pPr>
        <w:pStyle w:val="Heading2"/>
      </w:pPr>
      <w:r>
        <w:t>3.3 Sensitivities and assumptions</w:t>
      </w:r>
    </w:p>
    <w:p>
      <w:r>
        <w:t>Sensitivities and assumptions for 💻 IT &amp; Digital as it stands on the working dataset for this cyber resilience playbook. Reference figures and supporting tabs are stored alongside this document in the Group repository under the DEPT-IT-DIGITAL folder.</w:t>
      </w:r>
    </w:p>
    <w:p>
      <w:pPr>
        <w:pStyle w:val="Heading2"/>
      </w:pPr>
      <w:r>
        <w:t>3.4 Open issues and unknowns</w:t>
      </w:r>
    </w:p>
    <w:p>
      <w:r>
        <w:t>Open issues and unknowns for 💻 IT &amp; Digital as it stands on the working dataset for this cyber resilience playbook. Reference figures and supporting tabs are stored alongside this document in the Group repository under the DEPT-IT-DIGITAL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cyber resilience playbook narrative with the 💻 IT &amp; Digital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IT_01_Availability_and_Cyber_Tracker.xlsx</w:t>
      </w:r>
    </w:p>
    <w:p>
      <w:pPr>
        <w:pStyle w:val="ListBullet"/>
      </w:pPr>
      <w:r>
        <w:t>IT_02_Incident_and_Cost_Tracker.xlsx</w:t>
      </w:r>
    </w:p>
    <w:p>
      <w:pPr>
        <w:pStyle w:val="ListBullet"/>
      </w:pPr>
      <w:r>
        <w:t>IT_03_IT_Service_Management_Manual.docx</w:t>
      </w:r>
    </w:p>
    <w:p>
      <w:pPr>
        <w:pStyle w:val="ListBullet"/>
      </w:pPr>
      <w:r>
        <w:t>IT_04_Cyber_Resilience_Playbook.docx</w:t>
      </w:r>
    </w:p>
    <w:p>
      <w:pPr>
        <w:pStyle w:val="ListBullet"/>
      </w:pPr>
      <w:r>
        <w:t>IT_05_Third_Party_Risk_Register.docx</w:t>
      </w:r>
    </w:p>
    <w:p>
      <w:pPr>
        <w:pStyle w:val="ListBullet"/>
      </w:pPr>
      <w:r>
        <w:t>IT_06_BNM_OJK_Tabletop_Prep.docx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