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IT &amp; Digital — Architecture Standards</w:t>
      </w:r>
    </w:p>
    <w:p>
      <w:r>
        <w:rPr>
          <w:i/>
        </w:rPr>
        <w:t>Document owner: 💻 IT &amp; Digital Group Office</w:t>
      </w:r>
      <w:r>
        <w:rPr>
          <w:i/>
        </w:rPr>
        <w:t xml:space="preserve"> · Version: FY2025-A</w:t>
      </w:r>
    </w:p>
    <w:p>
      <w:pPr>
        <w:pStyle w:val="Heading1"/>
      </w:pPr>
      <w:r>
        <w:t>1. Executive Summary</w:t>
      </w:r>
    </w:p>
    <w:p>
      <w:r>
        <w:t>ERP migration is six months late, a cyber incident hit three business units, and Copilot adoption is uneven across the group.</w:t>
      </w:r>
    </w:p>
    <w:p>
      <w:r>
        <w:t>This architecture standards is grounded on the FY2025 working dataset for 💻 IT &amp; Digital and informs the Board, the regulator, and the operating committee of the corrective actions agreed under the recovery plan.</w:t>
      </w:r>
    </w:p>
    <w:p>
      <w:pPr>
        <w:pStyle w:val="Heading1"/>
      </w:pPr>
      <w:r>
        <w:t>2. Scenario &amp; Background</w:t>
      </w:r>
    </w:p>
    <w:p>
      <w:r>
        <w:t>Group IT &amp; Digital at Zava Group is trying to recover a delayed ERP transformation programme while also proving cyber resilience and adoption value. Legacy SAP architecture is slowing the migration, three business units were disrupted by a recent ransomware-style incident with 14 hours of degraded service, and executives want clearer evidence that Copilot usage is moving beyond experimentation across 8,400 employees. The CIO needs one integrated RAG view of programme risk, cyber exposure, and adoption impact in 30 days, ahead of the next Technology Steering Committee where Bursa-disclosable incidents and FY2026 IT capex will both be on the table.</w:t>
      </w:r>
    </w:p>
    <w:p>
      <w:r>
        <w:t>The team has triangulated 💻 IT &amp; Digital's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IT &amp; Digital as it stands on the working dataset for this architecture standards. Reference figures and supporting tabs are stored alongside this document in the Group repository under the DEPT-IT-DIGITAL folder.</w:t>
      </w:r>
    </w:p>
    <w:p>
      <w:pPr>
        <w:pStyle w:val="Heading2"/>
      </w:pPr>
      <w:r>
        <w:t>3.2 Key drivers</w:t>
      </w:r>
    </w:p>
    <w:p>
      <w:r>
        <w:t>Key drivers for 💻 IT &amp; Digital as it stands on the working dataset for this architecture standards. Reference figures and supporting tabs are stored alongside this document in the Group repository under the DEPT-IT-DIGITAL folder.</w:t>
      </w:r>
    </w:p>
    <w:p>
      <w:pPr>
        <w:pStyle w:val="Heading2"/>
      </w:pPr>
      <w:r>
        <w:t>3.3 Sensitivities and assumptions</w:t>
      </w:r>
    </w:p>
    <w:p>
      <w:r>
        <w:t>Sensitivities and assumptions for 💻 IT &amp; Digital as it stands on the working dataset for this architecture standards. Reference figures and supporting tabs are stored alongside this document in the Group repository under the DEPT-IT-DIGITAL folder.</w:t>
      </w:r>
    </w:p>
    <w:p>
      <w:pPr>
        <w:pStyle w:val="Heading2"/>
      </w:pPr>
      <w:r>
        <w:t>3.4 Open issues and unknowns</w:t>
      </w:r>
    </w:p>
    <w:p>
      <w:r>
        <w:t>Open issues and unknowns for 💻 IT &amp; Digital as it stands on the working dataset for this architecture standards. Reference figures and supporting tabs are stored alongside this document in the Group repository under the DEPT-IT-DIGITAL folder.</w:t>
      </w:r>
    </w:p>
    <w:p>
      <w:pPr>
        <w:pStyle w:val="Heading1"/>
      </w:pPr>
      <w:r>
        <w:t>4. Recommended Actions</w:t>
      </w:r>
    </w:p>
    <w:p>
      <w:pPr>
        <w:pStyle w:val="ListBullet"/>
      </w:pPr>
      <w:r>
        <w:t>Confirm the architecture standards narrative with the 💻 IT &amp; Digital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IT_01_Transformation_Tracker.xlsx</w:t>
      </w:r>
    </w:p>
    <w:p>
      <w:pPr>
        <w:pStyle w:val="ListBullet"/>
      </w:pPr>
      <w:r>
        <w:t>IT_02_Cyber_Incident_Metrics.xlsx</w:t>
      </w:r>
    </w:p>
    <w:p>
      <w:pPr>
        <w:pStyle w:val="ListBullet"/>
      </w:pPr>
      <w:r>
        <w:t>IT_03_IT_Governance_Manual.docx</w:t>
      </w:r>
    </w:p>
    <w:p>
      <w:pPr>
        <w:pStyle w:val="ListBullet"/>
      </w:pPr>
      <w:r>
        <w:t>IT_04_Cyber_Response_Playbook.docx</w:t>
      </w:r>
    </w:p>
    <w:p>
      <w:pPr>
        <w:pStyle w:val="ListBullet"/>
      </w:pPr>
      <w:r>
        <w:t>IT_05_Architecture_Standards.docx</w:t>
      </w:r>
    </w:p>
    <w:p>
      <w:pPr>
        <w:pStyle w:val="ListBullet"/>
      </w:pPr>
      <w:r>
        <w:t>IT_06_Copilot_Adoption_Strategy.docx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