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color w:val="1F4E78"/>
        </w:rPr>
        <w:t>⚖️ Legal — Compliance Manual</w:t>
      </w:r>
    </w:p>
    <w:p>
      <w:r>
        <w:rPr>
          <w:i/>
        </w:rPr>
        <w:t>Document owner: ⚖️ Legal Group Office</w:t>
      </w:r>
      <w:r>
        <w:rPr>
          <w:i/>
        </w:rPr>
        <w:t xml:space="preserve"> · Version: FY2025-A</w:t>
      </w:r>
    </w:p>
    <w:p>
      <w:pPr>
        <w:pStyle w:val="Heading1"/>
      </w:pPr>
      <w:r>
        <w:t>1. Executive Summary</w:t>
      </w:r>
    </w:p>
    <w:p>
      <w:r>
        <w:t>Contract approval backlog stands at 340 agreements, a Bursa Malaysia regulatory inquiry is live, and 7 board resolutions are slipping past their statutory windows.</w:t>
      </w:r>
    </w:p>
    <w:p>
      <w:r>
        <w:t>This compliance manual is grounded on the FY2025 working dataset for ⚖️ Legal and informs the Board, the regulator, and the operating committee of the corrective actions agreed under the recovery plan.</w:t>
      </w:r>
    </w:p>
    <w:p>
      <w:pPr>
        <w:pStyle w:val="Heading1"/>
      </w:pPr>
      <w:r>
        <w:t>2. Scenario &amp; Background</w:t>
      </w:r>
    </w:p>
    <w:p>
      <w:r>
        <w:t>Group Legal &amp; Corporate Secretarial Office at Zava Group faces a contract approval backlog of 340 agreements across 11 divisions, a live Bursa Malaysia regulatory inquiry demanding immediate document production, and 7 board resolutions slipping past their statutory filing windows. The General Counsel must reduce the backlog by 60% within 21 days while maintaining clause discipline, disclosure quality, and board governance standards — all without additional headcount.</w:t>
      </w:r>
    </w:p>
    <w:p>
      <w:r>
        <w:t>The team has triangulated ⚖️ Legal's most recent reported performance against three peer benchmarks and against the regulator's published thresholds for the sector. Findings carried over from the prior cycle have been re-examined to test whether the original assumptions still hold.</w:t>
      </w:r>
    </w:p>
    <w:p>
      <w:pPr>
        <w:pStyle w:val="Heading1"/>
      </w:pPr>
      <w:r>
        <w:t>3. Detail &amp; Working</w:t>
      </w:r>
    </w:p>
    <w:p>
      <w:pPr>
        <w:pStyle w:val="Heading2"/>
      </w:pPr>
      <w:r>
        <w:t>3.1 Position at end of period</w:t>
      </w:r>
    </w:p>
    <w:p>
      <w:r>
        <w:t>Position at end of period for ⚖️ Legal as it stands on the working dataset for this compliance manual. Reference figures and supporting tabs are stored alongside this document in the Group repository under the DEPT-LEGAL folder.</w:t>
      </w:r>
    </w:p>
    <w:p>
      <w:pPr>
        <w:pStyle w:val="Heading2"/>
      </w:pPr>
      <w:r>
        <w:t>3.2 Key drivers</w:t>
      </w:r>
    </w:p>
    <w:p>
      <w:r>
        <w:t>Key drivers for ⚖️ Legal as it stands on the working dataset for this compliance manual. Reference figures and supporting tabs are stored alongside this document in the Group repository under the DEPT-LEGAL folder.</w:t>
      </w:r>
    </w:p>
    <w:p>
      <w:pPr>
        <w:pStyle w:val="Heading2"/>
      </w:pPr>
      <w:r>
        <w:t>3.3 Sensitivities and assumptions</w:t>
      </w:r>
    </w:p>
    <w:p>
      <w:r>
        <w:t>Sensitivities and assumptions for ⚖️ Legal as it stands on the working dataset for this compliance manual. Reference figures and supporting tabs are stored alongside this document in the Group repository under the DEPT-LEGAL folder.</w:t>
      </w:r>
    </w:p>
    <w:p>
      <w:pPr>
        <w:pStyle w:val="Heading2"/>
      </w:pPr>
      <w:r>
        <w:t>3.4 Open issues and unknowns</w:t>
      </w:r>
    </w:p>
    <w:p>
      <w:r>
        <w:t>Open issues and unknowns for ⚖️ Legal as it stands on the working dataset for this compliance manual. Reference figures and supporting tabs are stored alongside this document in the Group repository under the DEPT-LEGAL folder.</w:t>
      </w:r>
    </w:p>
    <w:p>
      <w:pPr>
        <w:pStyle w:val="Heading1"/>
      </w:pPr>
      <w:r>
        <w:t>4. Recommended Actions</w:t>
      </w:r>
    </w:p>
    <w:p>
      <w:pPr>
        <w:pStyle w:val="ListBullet"/>
      </w:pPr>
      <w:r>
        <w:t>Confirm the compliance manual narrative with the ⚖️ Legal CFO before Board cut-off.</w:t>
      </w:r>
    </w:p>
    <w:p>
      <w:pPr>
        <w:pStyle w:val="ListBullet"/>
      </w:pPr>
      <w:r>
        <w:t>Lock the assumption set for the recovery plan and circulate to division MDs.</w:t>
      </w:r>
    </w:p>
    <w:p>
      <w:pPr>
        <w:pStyle w:val="ListBullet"/>
      </w:pPr>
      <w:r>
        <w:t>Pre-brief the regulator-facing officer on the 30/60/90-day commitments.</w:t>
      </w:r>
    </w:p>
    <w:p>
      <w:pPr>
        <w:pStyle w:val="ListBullet"/>
      </w:pPr>
      <w:r>
        <w:t>Schedule the cross-functional review with risk, legal, and IR.</w:t>
      </w:r>
    </w:p>
    <w:p>
      <w:pPr>
        <w:pStyle w:val="ListBullet"/>
      </w:pPr>
      <w:r>
        <w:t>Capture decisions in the Group decision log with named owners and due dates.</w:t>
      </w:r>
    </w:p>
    <w:p>
      <w:pPr>
        <w:pStyle w:val="Heading1"/>
      </w:pPr>
      <w:r>
        <w:t>5. Appendix — Source files</w:t>
      </w:r>
    </w:p>
    <w:p>
      <w:pPr>
        <w:pStyle w:val="ListBullet"/>
      </w:pPr>
      <w:r>
        <w:t>LEG_01_Legal_Matter_Register.xlsx</w:t>
      </w:r>
    </w:p>
    <w:p>
      <w:pPr>
        <w:pStyle w:val="ListBullet"/>
      </w:pPr>
      <w:r>
        <w:t>LEG_02_Compliance_Manual.docx</w:t>
      </w:r>
    </w:p>
    <w:p>
      <w:pPr>
        <w:pStyle w:val="ListBullet"/>
      </w:pPr>
      <w:r>
        <w:t>LEG_03_Delegation_of_Authority.docx</w:t>
      </w:r>
    </w:p>
    <w:p>
      <w:pPr>
        <w:pStyle w:val="ListBullet"/>
      </w:pPr>
      <w:r>
        <w:t>LEG_04_Contract_Backlog_Tracker.xlsx</w:t>
      </w:r>
    </w:p>
    <w:p>
      <w:pPr>
        <w:pStyle w:val="ListBullet"/>
      </w:pPr>
      <w:r>
        <w:t>LEG_05_Regulatory_Inquiry_Log.xlsx</w:t>
      </w:r>
    </w:p>
    <w:p>
      <w:pPr>
        <w:pStyle w:val="ListBullet"/>
      </w:pPr>
      <w:r>
        <w:t>LEG_06_Board_Resolution_Calendar.docx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