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Life Insurance — Bancassurance Channel Pack</w:t>
      </w:r>
    </w:p>
    <w:p>
      <w:r>
        <w:rPr>
          <w:i/>
        </w:rPr>
        <w:t>Document owner: Life Insurance Group Office</w:t>
      </w:r>
      <w:r>
        <w:rPr>
          <w:i/>
        </w:rPr>
        <w:t xml:space="preserve"> · Version: FY2025-A</w:t>
      </w:r>
    </w:p>
    <w:p>
      <w:pPr>
        <w:pStyle w:val="Heading1"/>
      </w:pPr>
      <w:r>
        <w:t>1. Executive Summary</w:t>
      </w:r>
    </w:p>
    <w:p>
      <w:r>
        <w:t>Early-duration lapses and softer bancassurance sales are eroding new business value before BNM stress testing.</w:t>
      </w:r>
    </w:p>
    <w:p>
      <w:r>
        <w:t>This bancassurance channel pack is grounded on the FY2025 working dataset for Life Insurance and informs the Board, the regulator, and the operating committee of the corrective actions agreed under the recovery plan.</w:t>
      </w:r>
    </w:p>
    <w:p>
      <w:pPr>
        <w:pStyle w:val="Heading1"/>
      </w:pPr>
      <w:r>
        <w:t>2. Scenario &amp; Background</w:t>
      </w:r>
    </w:p>
    <w:p>
      <w:r>
        <w:t>Zava Life Insurance Malaysia is a Malaysian life insurer with a sizeable savings, protection, and bancassurance franchise. The in-force book remains profitable but early-duration lapses have risen across cohorts, first-year strain is elevated, and new business value is weakening as bancassurance momentum has cooled while digital-first competitors offer simpler onboarding. Capital still exceeds minimum requirements but reserve strain, surrender behaviour, and channel productivity are moving in the wrong direction ahead of a BNM stress-testing cycle. The Board questions whether product mix is drifting toward lower-quality growth and whether management is too optimistic about bank channel recovery. The Indonesian affiliate Zava Life Insurance Indonesia faces similar pressure as OJK monitors persistency and RBC, IDX investors focus on margin quality, and Bank Indonesia rates affect savings product competitiveness. Management has three weeks to decide whether to reset targets, reprice products, and accelerate digital retention.</w:t>
      </w:r>
    </w:p>
    <w:p>
      <w:r>
        <w:t>The team has triangulated Life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Life Insurance as it stands on the working dataset for this bancassurance channel pack. Reference figures and supporting tabs are stored alongside this document in the Group repository under the LIFE-INSURANCE folder.</w:t>
      </w:r>
    </w:p>
    <w:p>
      <w:pPr>
        <w:pStyle w:val="Heading2"/>
      </w:pPr>
      <w:r>
        <w:t>3.2 Key drivers</w:t>
      </w:r>
    </w:p>
    <w:p>
      <w:r>
        <w:t>Key drivers for Life Insurance as it stands on the working dataset for this bancassurance channel pack. Reference figures and supporting tabs are stored alongside this document in the Group repository under the LIFE-INSURANCE folder.</w:t>
      </w:r>
    </w:p>
    <w:p>
      <w:pPr>
        <w:pStyle w:val="Heading2"/>
      </w:pPr>
      <w:r>
        <w:t>3.3 Sensitivities and assumptions</w:t>
      </w:r>
    </w:p>
    <w:p>
      <w:r>
        <w:t>Sensitivities and assumptions for Life Insurance as it stands on the working dataset for this bancassurance channel pack. Reference figures and supporting tabs are stored alongside this document in the Group repository under the LIFE-INSURANCE folder.</w:t>
      </w:r>
    </w:p>
    <w:p>
      <w:pPr>
        <w:pStyle w:val="Heading2"/>
      </w:pPr>
      <w:r>
        <w:t>3.4 Open issues and unknowns</w:t>
      </w:r>
    </w:p>
    <w:p>
      <w:r>
        <w:t>Open issues and unknowns for Life Insurance as it stands on the working dataset for this bancassurance channel pack. Reference figures and supporting tabs are stored alongside this document in the Group repository under the LIFE-INSURANCE folder.</w:t>
      </w:r>
    </w:p>
    <w:p>
      <w:pPr>
        <w:pStyle w:val="Heading1"/>
      </w:pPr>
      <w:r>
        <w:t>4. Recommended Actions</w:t>
      </w:r>
    </w:p>
    <w:p>
      <w:pPr>
        <w:pStyle w:val="ListBullet"/>
      </w:pPr>
      <w:r>
        <w:t>Confirm the bancassurance channel pack narrative with the Life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LI_01_Policy_Portfolio.xlsx</w:t>
      </w:r>
    </w:p>
    <w:p>
      <w:pPr>
        <w:pStyle w:val="ListBullet"/>
      </w:pPr>
      <w:r>
        <w:t>LI_02_Product_Framework.docx</w:t>
      </w:r>
    </w:p>
    <w:p>
      <w:pPr>
        <w:pStyle w:val="ListBullet"/>
      </w:pPr>
      <w:r>
        <w:t>LI_03_Actuarial_Policy.docx</w:t>
      </w:r>
    </w:p>
    <w:p>
      <w:pPr>
        <w:pStyle w:val="ListBullet"/>
      </w:pPr>
      <w:r>
        <w:t>LI_04_Bancassurance_Channel_Pack.docx</w:t>
      </w:r>
    </w:p>
    <w:p>
      <w:pPr>
        <w:pStyle w:val="ListBullet"/>
      </w:pPr>
      <w:r>
        <w:t>LI_05_Lapse_Cohort_Model.xlsx</w:t>
      </w:r>
    </w:p>
    <w:p>
      <w:pPr>
        <w:pStyle w:val="ListBullet"/>
      </w:pPr>
      <w:r>
        <w:t>LI_06_New_Business_Value_Forecast.xlsx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