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Logistics &amp; 3PL — Customer SLA Manual</w:t>
      </w:r>
    </w:p>
    <w:p>
      <w:r>
        <w:rPr>
          <w:i/>
        </w:rPr>
        <w:t>Document owner: Logistics &amp; 3PL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Three e-commerce contracts at risk, fleet utilisation slips, and the on-time KPI breaches the SLA threshold this quarter.</w:t>
      </w:r>
    </w:p>
    <w:p>
      <w:r>
        <w:t>This customer sla manual is grounded on the FY2025 working dataset for Logistics &amp; 3PL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Logistics Malaysia is a Malaysian integrated logistics and 3PL group listed on Bursa Malaysia, operating 1,250 trucks, 18 distribution centres, and a national same-day e-commerce network across Peninsular Malaysia and East Malaysia, serving 6 anchor e-commerce platforms and 240 enterprise B2B accounts. The group also runs an industrial trading and distribution arm (chemicals, lubricants, packaging) operating similarly to **AKR Corporindo** and **PT Lautan Luas Tbk** that contributes 18% of group revenue and shares the same DC and last-mile fleet. In the last quarter, on-time delivery dropped to 87.4% against the contractual SLA threshold of 92%, three of the six anchor e-commerce contracts have triggered service-credit clauses, fleet utilisation slipped from 78% to 71%, and diesel cost inflation widened the operating-margin gap by 320 basis points. The Suruhanjaya Pengangkutan Awam Darat (APAD) has issued a notice on tachograph compliance, two regional DC managers have flagged warehouse capacity constraints during peak campaigns, and the Group MD walks into a quarterly business review in 5 working days. The MD needs a defensible operations briefing pack, contract-by-contract SLA risk view, fleet and DC variance analysis, regulator and customer holding lines, and a 90-day stabilisation programme.</w:t>
      </w:r>
    </w:p>
    <w:p>
      <w:r>
        <w:t>The team has triangulated Logistics &amp; 3PL's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Logistics &amp; 3PL as it stands on the working dataset for this customer sla manual. Reference figures and supporting tabs are stored alongside this document in the Group repository under the LOGISTICS-3PL folder.</w:t>
      </w:r>
    </w:p>
    <w:p>
      <w:pPr>
        <w:pStyle w:val="Heading2"/>
      </w:pPr>
      <w:r>
        <w:t>3.2 Key drivers</w:t>
      </w:r>
    </w:p>
    <w:p>
      <w:r>
        <w:t>Key drivers for Logistics &amp; 3PL as it stands on the working dataset for this customer sla manual. Reference figures and supporting tabs are stored alongside this document in the Group repository under the LOGISTICS-3PL folder.</w:t>
      </w:r>
    </w:p>
    <w:p>
      <w:pPr>
        <w:pStyle w:val="Heading2"/>
      </w:pPr>
      <w:r>
        <w:t>3.3 Sensitivities and assumptions</w:t>
      </w:r>
    </w:p>
    <w:p>
      <w:r>
        <w:t>Sensitivities and assumptions for Logistics &amp; 3PL as it stands on the working dataset for this customer sla manual. Reference figures and supporting tabs are stored alongside this document in the Group repository under the LOGISTICS-3PL folder.</w:t>
      </w:r>
    </w:p>
    <w:p>
      <w:pPr>
        <w:pStyle w:val="Heading2"/>
      </w:pPr>
      <w:r>
        <w:t>3.4 Open issues and unknowns</w:t>
      </w:r>
    </w:p>
    <w:p>
      <w:r>
        <w:t>Open issues and unknowns for Logistics &amp; 3PL as it stands on the working dataset for this customer sla manual. Reference figures and supporting tabs are stored alongside this document in the Group repository under the LOGISTICS-3PL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customer sla manual narrative with the Logistics &amp; 3PL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LOG_01_Fleet_Performance.xlsx</w:t>
      </w:r>
    </w:p>
    <w:p>
      <w:pPr>
        <w:pStyle w:val="ListBullet"/>
      </w:pPr>
      <w:r>
        <w:t>LOG_02_DC_Capacity_Plan.docx</w:t>
      </w:r>
    </w:p>
    <w:p>
      <w:pPr>
        <w:pStyle w:val="ListBullet"/>
      </w:pPr>
      <w:r>
        <w:t>LOG_03_Customer_SLA_Manual.docx</w:t>
      </w:r>
    </w:p>
    <w:p>
      <w:pPr>
        <w:pStyle w:val="ListBullet"/>
      </w:pPr>
      <w:r>
        <w:t>LOG_04_Contract_Pipeline.xlsx</w:t>
      </w:r>
    </w:p>
    <w:p>
      <w:pPr>
        <w:pStyle w:val="ListBullet"/>
      </w:pPr>
      <w:r>
        <w:t>LOG_05_Driver_Compliance_Pack.docx</w:t>
      </w:r>
    </w:p>
    <w:p>
      <w:pPr>
        <w:pStyle w:val="ListBullet"/>
      </w:pPr>
      <w:r>
        <w:t>LOG_06_Diesel_Cost_Schedule.xlsx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