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8"/>
        </w:rPr>
        <w:t>Logistics &amp; 3PL — Driver Compliance Pack</w:t>
      </w:r>
    </w:p>
    <w:p>
      <w:r>
        <w:rPr>
          <w:i/>
        </w:rPr>
        <w:t>Document owner: Logistics &amp; 3PL Group Office</w:t>
      </w:r>
      <w:r>
        <w:rPr>
          <w:i/>
        </w:rPr>
        <w:t xml:space="preserve"> · Version: FY2025-A</w:t>
      </w:r>
    </w:p>
    <w:p>
      <w:pPr>
        <w:pStyle w:val="Heading1"/>
      </w:pPr>
      <w:r>
        <w:t>1. Executive Summary</w:t>
      </w:r>
    </w:p>
    <w:p>
      <w:r>
        <w:t>Three e-commerce contracts at risk, fleet utilisation slips, and the on-time KPI breaches the SLA threshold this quarter.</w:t>
      </w:r>
    </w:p>
    <w:p>
      <w:r>
        <w:t>This driver compliance pack is grounded on the FY2025 working dataset for Logistics &amp; 3PL and informs the Board, the regulator, and the operating committee of the corrective actions agreed under the recovery plan.</w:t>
      </w:r>
    </w:p>
    <w:p>
      <w:pPr>
        <w:pStyle w:val="Heading1"/>
      </w:pPr>
      <w:r>
        <w:t>2. Scenario &amp; Background</w:t>
      </w:r>
    </w:p>
    <w:p>
      <w:r>
        <w:t>Zava Logistics Malaysia is a Malaysian integrated logistics and 3PL group listed on Bursa Malaysia, operating 1,250 trucks, 18 distribution centres, and a national same-day e-commerce network across Peninsular Malaysia and East Malaysia, serving 6 anchor e-commerce platforms and 240 enterprise B2B accounts. The group also runs an industrial trading and distribution arm (chemicals, lubricants, packaging) operating similarly to **AKR Corporindo** and **PT Lautan Luas Tbk** that contributes 18% of group revenue and shares the same DC and last-mile fleet. In the last quarter, on-time delivery dropped to 87.4% against the contractual SLA threshold of 92%, three of the six anchor e-commerce contracts have triggered service-credit clauses, fleet utilisation slipped from 78% to 71%, and diesel cost inflation widened the operating-margin gap by 320 basis points. The Suruhanjaya Pengangkutan Awam Darat (APAD) has issued a notice on tachograph compliance, two regional DC managers have flagged warehouse capacity constraints during peak campaigns, and the Group MD walks into a quarterly business review in 5 working days. The MD needs a defensible operations briefing pack, contract-by-contract SLA risk view, fleet and DC variance analysis, regulator and customer holding lines, and a 90-day stabilisation programme.</w:t>
      </w:r>
    </w:p>
    <w:p>
      <w:r>
        <w:t>The team has triangulated Logistics &amp; 3PL's most recent reported performance against three peer benchmarks and against the regulator's published thresholds for the sector. Findings carried over from the prior cycle have been re-examined to test whether the original assumptions still hold.</w:t>
      </w:r>
    </w:p>
    <w:p>
      <w:pPr>
        <w:pStyle w:val="Heading1"/>
      </w:pPr>
      <w:r>
        <w:t>3. Detail &amp; Working</w:t>
      </w:r>
    </w:p>
    <w:p>
      <w:pPr>
        <w:pStyle w:val="Heading2"/>
      </w:pPr>
      <w:r>
        <w:t>3.1 Position at end of period</w:t>
      </w:r>
    </w:p>
    <w:p>
      <w:r>
        <w:t>Position at end of period for Logistics &amp; 3PL as it stands on the working dataset for this driver compliance pack. Reference figures and supporting tabs are stored alongside this document in the Group repository under the LOGISTICS-3PL folder.</w:t>
      </w:r>
    </w:p>
    <w:p>
      <w:pPr>
        <w:pStyle w:val="Heading2"/>
      </w:pPr>
      <w:r>
        <w:t>3.2 Key drivers</w:t>
      </w:r>
    </w:p>
    <w:p>
      <w:r>
        <w:t>Key drivers for Logistics &amp; 3PL as it stands on the working dataset for this driver compliance pack. Reference figures and supporting tabs are stored alongside this document in the Group repository under the LOGISTICS-3PL folder.</w:t>
      </w:r>
    </w:p>
    <w:p>
      <w:pPr>
        <w:pStyle w:val="Heading2"/>
      </w:pPr>
      <w:r>
        <w:t>3.3 Sensitivities and assumptions</w:t>
      </w:r>
    </w:p>
    <w:p>
      <w:r>
        <w:t>Sensitivities and assumptions for Logistics &amp; 3PL as it stands on the working dataset for this driver compliance pack. Reference figures and supporting tabs are stored alongside this document in the Group repository under the LOGISTICS-3PL folder.</w:t>
      </w:r>
    </w:p>
    <w:p>
      <w:pPr>
        <w:pStyle w:val="Heading2"/>
      </w:pPr>
      <w:r>
        <w:t>3.4 Open issues and unknowns</w:t>
      </w:r>
    </w:p>
    <w:p>
      <w:r>
        <w:t>Open issues and unknowns for Logistics &amp; 3PL as it stands on the working dataset for this driver compliance pack. Reference figures and supporting tabs are stored alongside this document in the Group repository under the LOGISTICS-3PL folder.</w:t>
      </w:r>
    </w:p>
    <w:p>
      <w:pPr>
        <w:pStyle w:val="Heading1"/>
      </w:pPr>
      <w:r>
        <w:t>4. Recommended Actions</w:t>
      </w:r>
    </w:p>
    <w:p>
      <w:pPr>
        <w:pStyle w:val="ListBullet"/>
      </w:pPr>
      <w:r>
        <w:t>Confirm the driver compliance pack narrative with the Logistics &amp; 3PL CFO before Board cut-off.</w:t>
      </w:r>
    </w:p>
    <w:p>
      <w:pPr>
        <w:pStyle w:val="ListBullet"/>
      </w:pPr>
      <w:r>
        <w:t>Lock the assumption set for the recovery plan and circulate to division MDs.</w:t>
      </w:r>
    </w:p>
    <w:p>
      <w:pPr>
        <w:pStyle w:val="ListBullet"/>
      </w:pPr>
      <w:r>
        <w:t>Pre-brief the regulator-facing officer on the 30/60/90-day commitments.</w:t>
      </w:r>
    </w:p>
    <w:p>
      <w:pPr>
        <w:pStyle w:val="ListBullet"/>
      </w:pPr>
      <w:r>
        <w:t>Schedule the cross-functional review with risk, legal, and IR.</w:t>
      </w:r>
    </w:p>
    <w:p>
      <w:pPr>
        <w:pStyle w:val="ListBullet"/>
      </w:pPr>
      <w:r>
        <w:t>Capture decisions in the Group decision log with named owners and due dates.</w:t>
      </w:r>
    </w:p>
    <w:p>
      <w:pPr>
        <w:pStyle w:val="Heading1"/>
      </w:pPr>
      <w:r>
        <w:t>5. Appendix — Source files</w:t>
      </w:r>
    </w:p>
    <w:p>
      <w:pPr>
        <w:pStyle w:val="ListBullet"/>
      </w:pPr>
      <w:r>
        <w:t>LOG_01_Fleet_Performance.xlsx</w:t>
      </w:r>
    </w:p>
    <w:p>
      <w:pPr>
        <w:pStyle w:val="ListBullet"/>
      </w:pPr>
      <w:r>
        <w:t>LOG_02_DC_Capacity_Plan.docx</w:t>
      </w:r>
    </w:p>
    <w:p>
      <w:pPr>
        <w:pStyle w:val="ListBullet"/>
      </w:pPr>
      <w:r>
        <w:t>LOG_03_Customer_SLA_Manual.docx</w:t>
      </w:r>
    </w:p>
    <w:p>
      <w:pPr>
        <w:pStyle w:val="ListBullet"/>
      </w:pPr>
      <w:r>
        <w:t>LOG_04_Contract_Pipeline.xlsx</w:t>
      </w:r>
    </w:p>
    <w:p>
      <w:pPr>
        <w:pStyle w:val="ListBullet"/>
      </w:pPr>
      <w:r>
        <w:t>LOG_05_Driver_Compliance_Pack.docx</w:t>
      </w:r>
    </w:p>
    <w:p>
      <w:pPr>
        <w:pStyle w:val="ListBullet"/>
      </w:pPr>
      <w:r>
        <w:t>LOG_06_Diesel_Cost_Schedule.xlsx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