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Maritime &amp; Shipping — Westports Concession Renewal Brief</w:t>
      </w:r>
    </w:p>
    <w:p>
      <w:r>
        <w:rPr>
          <w:i/>
        </w:rPr>
        <w:t>Document owner: Maritime &amp; Shipping Group Office</w:t>
      </w:r>
      <w:r>
        <w:rPr>
          <w:i/>
        </w:rPr>
        <w:t xml:space="preserve"> · Version: FY2025-A</w:t>
      </w:r>
    </w:p>
    <w:p>
      <w:pPr>
        <w:pStyle w:val="Heading1"/>
      </w:pPr>
      <w:r>
        <w:t>1. Executive Summary</w:t>
      </w:r>
    </w:p>
    <w:p>
      <w:r>
        <w:t>IMO 2030 fleet renewal capex MYR 1.8B + container charter rates collapse + Westports concession renewal MYR 380M revenue at risk — Board in 14 days.</w:t>
      </w:r>
    </w:p>
    <w:p>
      <w:r>
        <w:t>This westports concession renewal brief is grounded on the FY2025 working dataset for Maritime &amp; Shipping and informs the Board, the regulator, and the operating committee of the corrective actions agreed under the recovery plan.</w:t>
      </w:r>
    </w:p>
    <w:p>
      <w:pPr>
        <w:pStyle w:val="Heading1"/>
      </w:pPr>
      <w:r>
        <w:t>2. Scenario &amp; Background</w:t>
      </w:r>
    </w:p>
    <w:p>
      <w:r>
        <w:t>Zava Maritime is an integrated ASEAN shipping group operating a 42-vessel fleet (containers, tankers, OSVs) plus terminal-operating concessions across Port Klang and Tanjung Priok corridors, with combined Group revenue of MYR 4.6B (~IDR 16.5T at 1 MYR ≈ 3,580 IDR). Three pressures converge: (1) the IMO 2030 emissions glide-path requires a fleet-renewal capex programme of approximately MYR 1.8B over 60 months covering dual-fuel LNG vessels, scrubber retrofits and shore-power readiness; (2) container charter rates have collapsed 36% YoY on the Asia–Europe and Intra-Asia legs, compressing the FY2026 revenue plan by approximately MYR 220M and triggering covenant tests with the syndicated USD facility; (3) the Westports terminal concession renewal — worth approximately MYR 380M of recurring revenue — enters the formal review window with the Marine Department Malaysia (Jabatan Laut), MOT and PEMUDAH next quarter, with one peer concession having recently been re-tendered. The Group MD needs a Board pack in 14 days covering the IMO 2030 fleet capex bridge, the container charter-rate tracker, the Westports concession renewal brief, the Hubla/Marine Department compliance pack, and the fleet renewal financing playbook. Real customer reference frame: this group operates similarly to **MISC Berhad**, **Bumi Armada**, **Westports Holdings**, **Northport**, **Bintulu Port**, **Samudera Indonesia**, **Pelindo**, **IPC**, **Meratus Line**, **Soechi Lines**, **Salam Pacific**, and **Indo Straits** — with regulators including **Marine Department Malaysia (Jabatan Laut)**, **Hubla** (Direktorat Jenderal Perhubungan Laut), **IMO**, **ASEAN Maritime Forum**, and **MMEA** active concurrently.</w:t>
      </w:r>
    </w:p>
    <w:p>
      <w:r>
        <w:t>The team has triangulated Maritime &amp; Shipping's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Maritime &amp; Shipping as it stands on the working dataset for this westports concession renewal brief. Reference figures and supporting tabs are stored alongside this document in the Group repository under the MARITIME-SHIPPING folder.</w:t>
      </w:r>
    </w:p>
    <w:p>
      <w:pPr>
        <w:pStyle w:val="Heading2"/>
      </w:pPr>
      <w:r>
        <w:t>3.2 Key drivers</w:t>
      </w:r>
    </w:p>
    <w:p>
      <w:r>
        <w:t>Key drivers for Maritime &amp; Shipping as it stands on the working dataset for this westports concession renewal brief. Reference figures and supporting tabs are stored alongside this document in the Group repository under the MARITIME-SHIPPING folder.</w:t>
      </w:r>
    </w:p>
    <w:p>
      <w:pPr>
        <w:pStyle w:val="Heading2"/>
      </w:pPr>
      <w:r>
        <w:t>3.3 Sensitivities and assumptions</w:t>
      </w:r>
    </w:p>
    <w:p>
      <w:r>
        <w:t>Sensitivities and assumptions for Maritime &amp; Shipping as it stands on the working dataset for this westports concession renewal brief. Reference figures and supporting tabs are stored alongside this document in the Group repository under the MARITIME-SHIPPING folder.</w:t>
      </w:r>
    </w:p>
    <w:p>
      <w:pPr>
        <w:pStyle w:val="Heading2"/>
      </w:pPr>
      <w:r>
        <w:t>3.4 Open issues and unknowns</w:t>
      </w:r>
    </w:p>
    <w:p>
      <w:r>
        <w:t>Open issues and unknowns for Maritime &amp; Shipping as it stands on the working dataset for this westports concession renewal brief. Reference figures and supporting tabs are stored alongside this document in the Group repository under the MARITIME-SHIPPING folder.</w:t>
      </w:r>
    </w:p>
    <w:p>
      <w:pPr>
        <w:pStyle w:val="Heading1"/>
      </w:pPr>
      <w:r>
        <w:t>4. Recommended Actions</w:t>
      </w:r>
    </w:p>
    <w:p>
      <w:pPr>
        <w:pStyle w:val="ListBullet"/>
      </w:pPr>
      <w:r>
        <w:t>Confirm the westports concession renewal brief narrative with the Maritime &amp; Shipping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MAR_01_IMO_2030_Fleet_Capex.xlsx</w:t>
      </w:r>
    </w:p>
    <w:p>
      <w:pPr>
        <w:pStyle w:val="ListBullet"/>
      </w:pPr>
      <w:r>
        <w:t>MAR_02_Container_Charter_Rates_Tracker.xlsx</w:t>
      </w:r>
    </w:p>
    <w:p>
      <w:pPr>
        <w:pStyle w:val="ListBullet"/>
      </w:pPr>
      <w:r>
        <w:t>MAR_03_Westports_Concession_Renewal_Brief.docx</w:t>
      </w:r>
    </w:p>
    <w:p>
      <w:pPr>
        <w:pStyle w:val="ListBullet"/>
      </w:pPr>
      <w:r>
        <w:t>MAR_04_Hubla_MarineDept_Compliance_Pack.docx</w:t>
      </w:r>
    </w:p>
    <w:p>
      <w:pPr>
        <w:pStyle w:val="ListBullet"/>
      </w:pPr>
      <w:r>
        <w:t>MAR_05_Fleet_Renewal_Financing_Playbook.docx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