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Media - Entertainment — Digital Strategy Framework</w:t>
      </w:r>
    </w:p>
    <w:p>
      <w:r>
        <w:rPr>
          <w:i/>
        </w:rPr>
        <w:t>Document owner: Media - Entertainment Group Office</w:t>
      </w:r>
      <w:r>
        <w:rPr>
          <w:i/>
        </w:rPr>
        <w:t xml:space="preserve"> · Version: FY2025-A</w:t>
      </w:r>
    </w:p>
    <w:p>
      <w:pPr>
        <w:pStyle w:val="Heading1"/>
      </w:pPr>
      <w:r>
        <w:t>1. Executive Summary</w:t>
      </w:r>
    </w:p>
    <w:p>
      <w:r>
        <w:t>Streaming subs up but ARPU down; Kominfo and KPI questions; copyright complaints rising.</w:t>
      </w:r>
    </w:p>
    <w:p>
      <w:r>
        <w:t>This digital strategy framework is grounded on the FY2025 working dataset for Media - Entertainment and informs the Board, the regulator, and the operating committee of the corrective actions agreed under the recovery plan.</w:t>
      </w:r>
    </w:p>
    <w:p>
      <w:pPr>
        <w:pStyle w:val="Heading1"/>
      </w:pPr>
      <w:r>
        <w:t>2. Scenario &amp; Background</w:t>
      </w:r>
    </w:p>
    <w:p>
      <w:r>
        <w:t>Zava Media Malaysia and Zava Media Indonesia operate as a tier-one media and entertainment group across broadcast, streaming, and content commissioning in Malaysia and Indonesia with MYR 3.6 billion in annual revenue and roughly 6,800 direct staff. Streaming subscribers are up 23% year-on-year but ARPU is down 11%, three premium dramas are 28% over budget, advertising revenue is down 9% on weak open-rates, Kominfo has raised questions on news segment editorial governance, KPI has flagged advertising volume on 3 prime-time slots as exceeding the prescribed limit, and DJKI has received copyright complaints on 4 content items. The content commissioning round closes in 30 days and management must demonstrate that ARPU discipline, content cost control, and regulatory posture are aligned before the FY2026 commissioning slate is approved.</w:t>
      </w:r>
    </w:p>
    <w:p>
      <w:r>
        <w:t>The team has triangulated Media - Entertainment's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Media - Entertainment as it stands on the working dataset for this digital strategy framework. Reference figures and supporting tabs are stored alongside this document in the Group repository under the MEDIA-ENTERTAINMENT folder.</w:t>
      </w:r>
    </w:p>
    <w:p>
      <w:pPr>
        <w:pStyle w:val="Heading2"/>
      </w:pPr>
      <w:r>
        <w:t>3.2 Key drivers</w:t>
      </w:r>
    </w:p>
    <w:p>
      <w:r>
        <w:t>Key drivers for Media - Entertainment as it stands on the working dataset for this digital strategy framework. Reference figures and supporting tabs are stored alongside this document in the Group repository under the MEDIA-ENTERTAINMENT folder.</w:t>
      </w:r>
    </w:p>
    <w:p>
      <w:pPr>
        <w:pStyle w:val="Heading2"/>
      </w:pPr>
      <w:r>
        <w:t>3.3 Sensitivities and assumptions</w:t>
      </w:r>
    </w:p>
    <w:p>
      <w:r>
        <w:t>Sensitivities and assumptions for Media - Entertainment as it stands on the working dataset for this digital strategy framework. Reference figures and supporting tabs are stored alongside this document in the Group repository under the MEDIA-ENTERTAINMENT folder.</w:t>
      </w:r>
    </w:p>
    <w:p>
      <w:pPr>
        <w:pStyle w:val="Heading2"/>
      </w:pPr>
      <w:r>
        <w:t>3.4 Open issues and unknowns</w:t>
      </w:r>
    </w:p>
    <w:p>
      <w:r>
        <w:t>Open issues and unknowns for Media - Entertainment as it stands on the working dataset for this digital strategy framework. Reference figures and supporting tabs are stored alongside this document in the Group repository under the MEDIA-ENTERTAINMENT folder.</w:t>
      </w:r>
    </w:p>
    <w:p>
      <w:pPr>
        <w:pStyle w:val="Heading1"/>
      </w:pPr>
      <w:r>
        <w:t>4. Recommended Actions</w:t>
      </w:r>
    </w:p>
    <w:p>
      <w:pPr>
        <w:pStyle w:val="ListBullet"/>
      </w:pPr>
      <w:r>
        <w:t>Confirm the digital strategy framework narrative with the Media - Entertainment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ME_01_Content_Performance.xlsx</w:t>
      </w:r>
    </w:p>
    <w:p>
      <w:pPr>
        <w:pStyle w:val="ListBullet"/>
      </w:pPr>
      <w:r>
        <w:t>ME_02_Content_Policy.docx</w:t>
      </w:r>
    </w:p>
    <w:p>
      <w:pPr>
        <w:pStyle w:val="ListBullet"/>
      </w:pPr>
      <w:r>
        <w:t>ME_03_Digital_Strategy_Framework.docx</w:t>
      </w:r>
    </w:p>
    <w:p>
      <w:pPr>
        <w:pStyle w:val="ListBullet"/>
      </w:pPr>
      <w:r>
        <w:t>ME_04_Streaming_Subscriber_Cohort.xlsx</w:t>
      </w:r>
    </w:p>
    <w:p>
      <w:pPr>
        <w:pStyle w:val="ListBullet"/>
      </w:pPr>
      <w:r>
        <w:t>ME_05_Advertiser_Yield_Model.xlsx</w:t>
      </w:r>
    </w:p>
    <w:p>
      <w:pPr>
        <w:pStyle w:val="ListBullet"/>
      </w:pPr>
      <w:r>
        <w:t>ME_06_Content_Rights_Register.docx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