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Industrial Manufacturing — Lean Manufacturing Guide</w:t>
      </w:r>
    </w:p>
    <w:p>
      <w:r>
        <w:rPr>
          <w:i/>
        </w:rPr>
        <w:t>Document owner: Industrial Manufacturing Group Office</w:t>
      </w:r>
      <w:r>
        <w:rPr>
          <w:i/>
        </w:rPr>
        <w:t xml:space="preserve"> · Version: FY2025-A</w:t>
      </w:r>
    </w:p>
    <w:p>
      <w:pPr>
        <w:pStyle w:val="Heading1"/>
      </w:pPr>
      <w:r>
        <w:t>1. Executive Summary</w:t>
      </w:r>
    </w:p>
    <w:p>
      <w:r>
        <w:t>Network OEE stuck at 68%, rejects at 4.9% and OTIF at 91% — Board operations reset Wednesday.</w:t>
      </w:r>
    </w:p>
    <w:p>
      <w:r>
        <w:t>This lean manufacturing guide is grounded on the FY2025 working dataset for Industrial Manufacturing and informs the Board, the regulator, and the operating committee of the corrective actions agreed under the recovery plan.</w:t>
      </w:r>
    </w:p>
    <w:p>
      <w:pPr>
        <w:pStyle w:val="Heading1"/>
      </w:pPr>
      <w:r>
        <w:t>2. Scenario &amp; Background</w:t>
      </w:r>
    </w:p>
    <w:p>
      <w:r>
        <w:t>Zava Manufacturing Malaysia is a Malaysian precision component and sub-assembly manufacturer listed on Bursa Malaysia with about 5,800 employees across plants in Nilai and Batu Kawan supplying automotive, electronics and industrial OEM customers, and an Indonesian affiliate listed on IDX serving regional Tier 1 customers. The Line OEE Dashboard shows network OEE stuck at 68% against a 75% recovery target, Quality Reject Log shows defect rate at 4.9% with rework concentrated on two high-volume customer programmes, Production Plan vs Actual shows chronic shortfalls on weekend shifts, and Raw Material Cost Tracker captures continuing volatility in resin, copper and imported machining consumables. Customer Order Fulfillment has slipped to 91% OTIF, raising the risk of supplier penalties and allocation losses on the next sourcing round with three Tier 1 OEM customers. Supply Chain Performance shows two single-source components with 9-week lead times, and a key Japanese customer audit is scheduled in 5 weeks. Kementerian Perindustrian incentive reporting, BKPM investment review, SNI quality certification and DOSH workplace safety discipline all intersect with the operating reset described in the lean manufacturing guide and the controls documented in the quality management system. The Group CEO has called a Board operations reset on Wednesday and needs a defensible recovery on OEE, quality, OTIF and supply chain — fast.</w:t>
      </w:r>
    </w:p>
    <w:p>
      <w:r>
        <w:t>The team has triangulated Industrial Manufacturing's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Industrial Manufacturing as it stands on the working dataset for this lean manufacturing guide. Reference figures and supporting tabs are stored alongside this document in the Group repository under the INDUSTRIAL-MANUFACTURING folder.</w:t>
      </w:r>
    </w:p>
    <w:p>
      <w:pPr>
        <w:pStyle w:val="Heading2"/>
      </w:pPr>
      <w:r>
        <w:t>3.2 Key drivers</w:t>
      </w:r>
    </w:p>
    <w:p>
      <w:r>
        <w:t>Key drivers for Industrial Manufacturing as it stands on the working dataset for this lean manufacturing guide. Reference figures and supporting tabs are stored alongside this document in the Group repository under the INDUSTRIAL-MANUFACTURING folder.</w:t>
      </w:r>
    </w:p>
    <w:p>
      <w:pPr>
        <w:pStyle w:val="Heading2"/>
      </w:pPr>
      <w:r>
        <w:t>3.3 Sensitivities and assumptions</w:t>
      </w:r>
    </w:p>
    <w:p>
      <w:r>
        <w:t>Sensitivities and assumptions for Industrial Manufacturing as it stands on the working dataset for this lean manufacturing guide. Reference figures and supporting tabs are stored alongside this document in the Group repository under the INDUSTRIAL-MANUFACTURING folder.</w:t>
      </w:r>
    </w:p>
    <w:p>
      <w:pPr>
        <w:pStyle w:val="Heading2"/>
      </w:pPr>
      <w:r>
        <w:t>3.4 Open issues and unknowns</w:t>
      </w:r>
    </w:p>
    <w:p>
      <w:r>
        <w:t>Open issues and unknowns for Industrial Manufacturing as it stands on the working dataset for this lean manufacturing guide. Reference figures and supporting tabs are stored alongside this document in the Group repository under the INDUSTRIAL-MANUFACTURING folder.</w:t>
      </w:r>
    </w:p>
    <w:p>
      <w:pPr>
        <w:pStyle w:val="Heading1"/>
      </w:pPr>
      <w:r>
        <w:t>4. Recommended Actions</w:t>
      </w:r>
    </w:p>
    <w:p>
      <w:pPr>
        <w:pStyle w:val="ListBullet"/>
      </w:pPr>
      <w:r>
        <w:t>Confirm the lean manufacturing guide narrative with the Industrial Manufacturing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MFG_01_Production_Metrics.xlsx</w:t>
      </w:r>
    </w:p>
    <w:p>
      <w:pPr>
        <w:pStyle w:val="ListBullet"/>
      </w:pPr>
      <w:r>
        <w:t>MFG_02_Quality_Management_System.docx</w:t>
      </w:r>
    </w:p>
    <w:p>
      <w:pPr>
        <w:pStyle w:val="ListBullet"/>
      </w:pPr>
      <w:r>
        <w:t>MFG_03_Lean_Manufacturing_Guide.docx</w:t>
      </w:r>
    </w:p>
    <w:p>
      <w:pPr>
        <w:pStyle w:val="ListBullet"/>
      </w:pPr>
      <w:r>
        <w:t>MFG_04_Supply_Chain_Performance.xlsx</w:t>
      </w:r>
    </w:p>
    <w:p>
      <w:pPr>
        <w:pStyle w:val="ListBullet"/>
      </w:pPr>
      <w:r>
        <w:t>MFG_05_Customer_OTIF_Tracker.xlsx</w:t>
      </w:r>
    </w:p>
    <w:p>
      <w:pPr>
        <w:pStyle w:val="ListBullet"/>
      </w:pPr>
      <w:r>
        <w:t>MFG_06_SNI_Quality_Submission.docx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