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 Marketing &amp; Communications — Crisis Response Protocol</w:t>
      </w:r>
    </w:p>
    <w:p>
      <w:r>
        <w:rPr>
          <w:i/>
        </w:rPr>
        <w:t>Document owner: 📢 Marketing &amp; Communications Group Office</w:t>
      </w:r>
      <w:r>
        <w:rPr>
          <w:i/>
        </w:rPr>
        <w:t xml:space="preserve"> · Version: FY2025-A</w:t>
      </w:r>
    </w:p>
    <w:p>
      <w:pPr>
        <w:pStyle w:val="Heading1"/>
      </w:pPr>
      <w:r>
        <w:t>1. Executive Summary</w:t>
      </w:r>
    </w:p>
    <w:p>
      <w:r>
        <w:t>Campaign ROI is slipping, brand sentiment is mixed, and the next launch must recover qualified leads without creating disclosure risk.</w:t>
      </w:r>
    </w:p>
    <w:p>
      <w:r>
        <w:t>This crisis response protocol is grounded on the FY2025 working dataset for 📢 Marketing &amp; Communications and informs the Board, the regulator, and the operating committee of the corrective actions agreed under the recovery plan.</w:t>
      </w:r>
    </w:p>
    <w:p>
      <w:pPr>
        <w:pStyle w:val="Heading1"/>
      </w:pPr>
      <w:r>
        <w:t>2. Scenario &amp; Background</w:t>
      </w:r>
    </w:p>
    <w:p>
      <w:r>
        <w:t>The Brand, Marketing &amp; Communications division at Zava Group is balancing performance pressure with reputation management ahead of a high-visibility ASEAN campaign window. Qualified lead conversion has softened by 22% over two quarters, brand sentiment is uneven across digital channels, and a recent influencer partnership generated unexpected pushback. Leadership wants clearer evidence on what content is working, the next launch must recover qualified leads without creating Bursa Malaysia disclosure risk, and the team must sharpen its RAG view of message risk, campaign effectiveness, and launch readiness across 11 product lines and 6 ASEAN markets within three weeks.</w:t>
      </w:r>
    </w:p>
    <w:p>
      <w:r>
        <w:t>The team has triangulated 📢 Marketing &amp; Communications's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 Marketing &amp; Communications as it stands on the working dataset for this crisis response protocol. Reference figures and supporting tabs are stored alongside this document in the Group repository under the DEPT-MARKETING folder.</w:t>
      </w:r>
    </w:p>
    <w:p>
      <w:pPr>
        <w:pStyle w:val="Heading2"/>
      </w:pPr>
      <w:r>
        <w:t>3.2 Key drivers</w:t>
      </w:r>
    </w:p>
    <w:p>
      <w:r>
        <w:t>Key drivers for 📢 Marketing &amp; Communications as it stands on the working dataset for this crisis response protocol. Reference figures and supporting tabs are stored alongside this document in the Group repository under the DEPT-MARKETING folder.</w:t>
      </w:r>
    </w:p>
    <w:p>
      <w:pPr>
        <w:pStyle w:val="Heading2"/>
      </w:pPr>
      <w:r>
        <w:t>3.3 Sensitivities and assumptions</w:t>
      </w:r>
    </w:p>
    <w:p>
      <w:r>
        <w:t>Sensitivities and assumptions for 📢 Marketing &amp; Communications as it stands on the working dataset for this crisis response protocol. Reference figures and supporting tabs are stored alongside this document in the Group repository under the DEPT-MARKETING folder.</w:t>
      </w:r>
    </w:p>
    <w:p>
      <w:pPr>
        <w:pStyle w:val="Heading2"/>
      </w:pPr>
      <w:r>
        <w:t>3.4 Open issues and unknowns</w:t>
      </w:r>
    </w:p>
    <w:p>
      <w:r>
        <w:t>Open issues and unknowns for 📢 Marketing &amp; Communications as it stands on the working dataset for this crisis response protocol. Reference figures and supporting tabs are stored alongside this document in the Group repository under the DEPT-MARKETING folder.</w:t>
      </w:r>
    </w:p>
    <w:p>
      <w:pPr>
        <w:pStyle w:val="Heading1"/>
      </w:pPr>
      <w:r>
        <w:t>4. Recommended Actions</w:t>
      </w:r>
    </w:p>
    <w:p>
      <w:pPr>
        <w:pStyle w:val="ListBullet"/>
      </w:pPr>
      <w:r>
        <w:t>Confirm the crisis response protocol narrative with the 📢 Marketing &amp; Communications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MKT_01_Campaign_Performance.xlsx</w:t>
      </w:r>
    </w:p>
    <w:p>
      <w:pPr>
        <w:pStyle w:val="ListBullet"/>
      </w:pPr>
      <w:r>
        <w:t>MKT_02_Channel_Spend_Analytics.xlsx</w:t>
      </w:r>
    </w:p>
    <w:p>
      <w:pPr>
        <w:pStyle w:val="ListBullet"/>
      </w:pPr>
      <w:r>
        <w:t>MKT_03_Brand_Guidelines.docx</w:t>
      </w:r>
    </w:p>
    <w:p>
      <w:pPr>
        <w:pStyle w:val="ListBullet"/>
      </w:pPr>
      <w:r>
        <w:t>MKT_04_Communications_Playbook.docx</w:t>
      </w:r>
    </w:p>
    <w:p>
      <w:pPr>
        <w:pStyle w:val="ListBullet"/>
      </w:pPr>
      <w:r>
        <w:t>MKT_05_Crisis_Response_Protocol.docx</w:t>
      </w:r>
    </w:p>
    <w:p>
      <w:pPr>
        <w:pStyle w:val="ListBullet"/>
      </w:pPr>
      <w:r>
        <w:t>MKT_06_FY2026_Launch_Plan.docx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