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Mortgage Finance — Investor Day Briefing</w:t>
      </w:r>
    </w:p>
    <w:p>
      <w:r>
        <w:rPr>
          <w:i/>
        </w:rPr>
        <w:t>Document owner: Mortgage Finance Group Office</w:t>
      </w:r>
      <w:r>
        <w:rPr>
          <w:i/>
        </w:rPr>
        <w:t xml:space="preserve"> · Version: FY2025-A</w:t>
      </w:r>
    </w:p>
    <w:p>
      <w:pPr>
        <w:pStyle w:val="Heading1"/>
      </w:pPr>
      <w:r>
        <w:t>1. Executive Summary</w:t>
      </w:r>
    </w:p>
    <w:p>
      <w:r>
        <w:t>BNM directed liquidity injection — MYR 2.4B MBS issuance window in 14 days.</w:t>
      </w:r>
    </w:p>
    <w:p>
      <w:r>
        <w:t>This investor day briefing is grounded on the FY2025 working dataset for Mortgage Finance and informs the Board, the regulator, and the operating committee of the corrective actions agreed under the recovery plan.</w:t>
      </w:r>
    </w:p>
    <w:p>
      <w:pPr>
        <w:pStyle w:val="Heading1"/>
      </w:pPr>
      <w:r>
        <w:t>2. Scenario &amp; Background</w:t>
      </w:r>
    </w:p>
    <w:p>
      <w:r>
        <w:t>Zava Cagamas Berhad is the national mortgage-finance corporation supporting Malaysia's secondary mortgage market via Mortgage-Backed Securities (MBS), Sukuk Cagamas, and Purchase-with-Recourse facilities. Bank Negara Malaysia has flagged liquidity stress at 4 mid-tier banks and directed Zava Cagamas to open a MYR 2.4B MBS issuance window in 14 days. The Group CFO must coordinate origination-bank pricing, Securities Commission Malaysia approvals, RAM/MARC ratings affirmation, AAOIFI compliance for the Sukuk tranche, and an Investor Day briefing for 60 institutional investors all at once. Real customer reference frame: this group operates similarly to Cagamas Berhad and Maybank Investment Bank's mortgage-finance division.</w:t>
      </w:r>
    </w:p>
    <w:p>
      <w:r>
        <w:t>The team has triangulated Mortgage Finance's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Mortgage Finance as it stands on the working dataset for this investor day briefing. Reference figures and supporting tabs are stored alongside this document in the Group repository under the MORTGAGE-FINANCE folder.</w:t>
      </w:r>
    </w:p>
    <w:p>
      <w:pPr>
        <w:pStyle w:val="Heading2"/>
      </w:pPr>
      <w:r>
        <w:t>3.2 Key drivers</w:t>
      </w:r>
    </w:p>
    <w:p>
      <w:r>
        <w:t>Key drivers for Mortgage Finance as it stands on the working dataset for this investor day briefing. Reference figures and supporting tabs are stored alongside this document in the Group repository under the MORTGAGE-FINANCE folder.</w:t>
      </w:r>
    </w:p>
    <w:p>
      <w:pPr>
        <w:pStyle w:val="Heading2"/>
      </w:pPr>
      <w:r>
        <w:t>3.3 Sensitivities and assumptions</w:t>
      </w:r>
    </w:p>
    <w:p>
      <w:r>
        <w:t>Sensitivities and assumptions for Mortgage Finance as it stands on the working dataset for this investor day briefing. Reference figures and supporting tabs are stored alongside this document in the Group repository under the MORTGAGE-FINANCE folder.</w:t>
      </w:r>
    </w:p>
    <w:p>
      <w:pPr>
        <w:pStyle w:val="Heading2"/>
      </w:pPr>
      <w:r>
        <w:t>3.4 Open issues and unknowns</w:t>
      </w:r>
    </w:p>
    <w:p>
      <w:r>
        <w:t>Open issues and unknowns for Mortgage Finance as it stands on the working dataset for this investor day briefing. Reference figures and supporting tabs are stored alongside this document in the Group repository under the MORTGAGE-FINANCE folder.</w:t>
      </w:r>
    </w:p>
    <w:p>
      <w:pPr>
        <w:pStyle w:val="Heading1"/>
      </w:pPr>
      <w:r>
        <w:t>4. Recommended Actions</w:t>
      </w:r>
    </w:p>
    <w:p>
      <w:pPr>
        <w:pStyle w:val="ListBullet"/>
      </w:pPr>
      <w:r>
        <w:t>Confirm the investor day briefing narrative with the Mortgage Finance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MORT_01_MBS_Pricing_Model.xlsx</w:t>
      </w:r>
    </w:p>
    <w:p>
      <w:pPr>
        <w:pStyle w:val="ListBullet"/>
      </w:pPr>
      <w:r>
        <w:t>MORT_02_Mortgage_Pool_Stratification.xlsx</w:t>
      </w:r>
    </w:p>
    <w:p>
      <w:pPr>
        <w:pStyle w:val="ListBullet"/>
      </w:pPr>
      <w:r>
        <w:t>MORT_03_BNM_Compliance_Pack.docx</w:t>
      </w:r>
    </w:p>
    <w:p>
      <w:pPr>
        <w:pStyle w:val="ListBullet"/>
      </w:pPr>
      <w:r>
        <w:t>MORT_04_Investor_Day_Briefing.docx</w:t>
      </w:r>
    </w:p>
    <w:p>
      <w:pPr>
        <w:pStyle w:val="ListBullet"/>
      </w:pPr>
      <w:r>
        <w:t>MORT_05_Rating_Agency_Submission.docx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