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Oil &amp; Gas Downstream — Environmental Compliance</w:t>
      </w:r>
    </w:p>
    <w:p>
      <w:r>
        <w:rPr>
          <w:i/>
        </w:rPr>
        <w:t>Document owner: Oil &amp; Gas Downstream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FY2025 refining margin compressed to USD 5.1/bbl with major turnaround in 16 weeks — Board reset Tuesday.</w:t>
      </w:r>
    </w:p>
    <w:p>
      <w:r>
        <w:t>This environmental compliance is grounded on the FY2025 working dataset for Oil &amp; Gas Downstream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Oil Downstream Malaysia is a Malaysian downstream refiner listed on Bursa Malaysia with about 3,400 employees, a 165 kbpd coastal refinery, and integrated marketing, trading and HSE divisions supplying transport fuels and petrochemical feedstock into Malaysia and selected Indonesian counterparties through a Pertamina-affiliated joint venture. FY2025 gross refining margin compressed to USD 5.1/bbl from a USD 7.4/bbl budget, the conversion units have lost 6 percentage points of utilisation after repeated reliability interruptions, middle-distillate yield is running below plan, and a major turnaround on Crude Distillation Unit 2 is now less than 16 weeks away. Three Tier 2 process-safety events in Q4 have triggered DOSH formal correspondence, the Department of Environment has flagged flaring variance, and the trading book carries USD 38 M of mark-to-market loss on sour-crude hedges. BPH Migas in Indonesia and Kementerian ESDM are simultaneously requesting transparency on volumes, pricing and HSE performance ahead of the next licence review. The Group CEO has called a Board reset on Tuesday and needs a defensible margin recovery, turnaround readiness, HSE remediation and regulator narrative — fast.</w:t>
      </w:r>
    </w:p>
    <w:p>
      <w:r>
        <w:t>The team has triangulated Oil &amp; Gas Downstream's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Oil &amp; Gas Downstream as it stands on the working dataset for this environmental compliance. Reference figures and supporting tabs are stored alongside this document in the Group repository under the OG-DOWNSTREAM folder.</w:t>
      </w:r>
    </w:p>
    <w:p>
      <w:pPr>
        <w:pStyle w:val="Heading2"/>
      </w:pPr>
      <w:r>
        <w:t>3.2 Key drivers</w:t>
      </w:r>
    </w:p>
    <w:p>
      <w:r>
        <w:t>Key drivers for Oil &amp; Gas Downstream as it stands on the working dataset for this environmental compliance. Reference figures and supporting tabs are stored alongside this document in the Group repository under the OG-DOWNSTREAM folder.</w:t>
      </w:r>
    </w:p>
    <w:p>
      <w:pPr>
        <w:pStyle w:val="Heading2"/>
      </w:pPr>
      <w:r>
        <w:t>3.3 Sensitivities and assumptions</w:t>
      </w:r>
    </w:p>
    <w:p>
      <w:r>
        <w:t>Sensitivities and assumptions for Oil &amp; Gas Downstream as it stands on the working dataset for this environmental compliance. Reference figures and supporting tabs are stored alongside this document in the Group repository under the OG-DOWNSTREAM folder.</w:t>
      </w:r>
    </w:p>
    <w:p>
      <w:pPr>
        <w:pStyle w:val="Heading2"/>
      </w:pPr>
      <w:r>
        <w:t>3.4 Open issues and unknowns</w:t>
      </w:r>
    </w:p>
    <w:p>
      <w:r>
        <w:t>Open issues and unknowns for Oil &amp; Gas Downstream as it stands on the working dataset for this environmental compliance. Reference figures and supporting tabs are stored alongside this document in the Group repository under the OG-DOWNSTREAM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environmental compliance narrative with the Oil &amp; Gas Downstream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OGD_01_Refinery_Operations.xlsx</w:t>
      </w:r>
    </w:p>
    <w:p>
      <w:pPr>
        <w:pStyle w:val="ListBullet"/>
      </w:pPr>
      <w:r>
        <w:t>OGD_02_Environmental_Compliance.docx</w:t>
      </w:r>
    </w:p>
    <w:p>
      <w:pPr>
        <w:pStyle w:val="ListBullet"/>
      </w:pPr>
      <w:r>
        <w:t>OGD_03_Refinery_Maintenance_Plan.docx</w:t>
      </w:r>
    </w:p>
    <w:p>
      <w:pPr>
        <w:pStyle w:val="ListBullet"/>
      </w:pPr>
      <w:r>
        <w:t>OGD_04_Trading_Position_Book.xlsx</w:t>
      </w:r>
    </w:p>
    <w:p>
      <w:pPr>
        <w:pStyle w:val="ListBullet"/>
      </w:pPr>
      <w:r>
        <w:t>OGD_05_HSE_Incident_Register.xlsx</w:t>
      </w:r>
    </w:p>
    <w:p>
      <w:pPr>
        <w:pStyle w:val="ListBullet"/>
      </w:pPr>
      <w:r>
        <w:t>OGD_06_BPH_Migas_Submission.docx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