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Oil &amp; Gas Upstream — Field Development Plan</w:t>
      </w:r>
    </w:p>
    <w:p>
      <w:r>
        <w:rPr>
          <w:i/>
        </w:rPr>
        <w:t>Document owner: Oil &amp; Gas Upstream Group Office</w:t>
      </w:r>
      <w:r>
        <w:rPr>
          <w:i/>
        </w:rPr>
        <w:t xml:space="preserve"> · Version: FY2025-A</w:t>
      </w:r>
    </w:p>
    <w:p>
      <w:pPr>
        <w:pStyle w:val="Heading1"/>
      </w:pPr>
      <w:r>
        <w:t>1. Executive Summary</w:t>
      </w:r>
    </w:p>
    <w:p>
      <w:r>
        <w:t>PETRONAS scrutiny rises as lifting cost climbs to USD19.8/bbl and HSSE incidents trend upward.</w:t>
      </w:r>
    </w:p>
    <w:p>
      <w:r>
        <w:t>This field development plan is grounded on the FY2025 working dataset for Oil &amp; Gas Upstream and informs the Board, the regulator, and the operating committee of the corrective actions agreed under the recovery plan.</w:t>
      </w:r>
    </w:p>
    <w:p>
      <w:pPr>
        <w:pStyle w:val="Heading1"/>
      </w:pPr>
      <w:r>
        <w:t>2. Scenario &amp; Background</w:t>
      </w:r>
    </w:p>
    <w:p>
      <w:r>
        <w:t>Zava Oil Upstream Malaysia operates mature offshore assets in Peninsular Malaysia and a participating interest in an Indonesian block through Zava Oil Upstream Indonesia. The Daily Production Log shows average output at 41.6 mboepd, 7% below plan after unplanned deferment on two wells and longer compressor downtime. Reservoir Performance indicates water cut is rising faster than the FDP assumptions for one brownfield cluster, while the Lifting Cost Tracker has moved to USD19.8 per barrel versus a budget of USD16.2. The HSSE Incident Register shows three recordable events in five months, including one hydrocarbon release that triggered PETRONAS follow-up questions. Capex vs Budget also shows subsea integrity spending running 14% ahead of plan, putting pressure on cash generation just as the Board is reviewing the next phase of OGU_03_Field_Development_Plan.docx. DOSH expectations, PETRONAS operational assurance, and Indonesian SKK Migas production commitments all matter in the next quarter. Management needs a tighter read-through between OGU_02_HSE_Policy.docx and field execution before the next asset review committee.</w:t>
      </w:r>
    </w:p>
    <w:p>
      <w:r>
        <w:t>The team has triangulated Oil &amp; Gas Upstream's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Oil &amp; Gas Upstream as it stands on the working dataset for this field development plan. Reference figures and supporting tabs are stored alongside this document in the Group repository under the OG-UPSTREAM folder.</w:t>
      </w:r>
    </w:p>
    <w:p>
      <w:pPr>
        <w:pStyle w:val="Heading2"/>
      </w:pPr>
      <w:r>
        <w:t>3.2 Key drivers</w:t>
      </w:r>
    </w:p>
    <w:p>
      <w:r>
        <w:t>Key drivers for Oil &amp; Gas Upstream as it stands on the working dataset for this field development plan. Reference figures and supporting tabs are stored alongside this document in the Group repository under the OG-UPSTREAM folder.</w:t>
      </w:r>
    </w:p>
    <w:p>
      <w:pPr>
        <w:pStyle w:val="Heading2"/>
      </w:pPr>
      <w:r>
        <w:t>3.3 Sensitivities and assumptions</w:t>
      </w:r>
    </w:p>
    <w:p>
      <w:r>
        <w:t>Sensitivities and assumptions for Oil &amp; Gas Upstream as it stands on the working dataset for this field development plan. Reference figures and supporting tabs are stored alongside this document in the Group repository under the OG-UPSTREAM folder.</w:t>
      </w:r>
    </w:p>
    <w:p>
      <w:pPr>
        <w:pStyle w:val="Heading2"/>
      </w:pPr>
      <w:r>
        <w:t>3.4 Open issues and unknowns</w:t>
      </w:r>
    </w:p>
    <w:p>
      <w:r>
        <w:t>Open issues and unknowns for Oil &amp; Gas Upstream as it stands on the working dataset for this field development plan. Reference figures and supporting tabs are stored alongside this document in the Group repository under the OG-UPSTREAM folder.</w:t>
      </w:r>
    </w:p>
    <w:p>
      <w:pPr>
        <w:pStyle w:val="Heading1"/>
      </w:pPr>
      <w:r>
        <w:t>4. Recommended Actions</w:t>
      </w:r>
    </w:p>
    <w:p>
      <w:pPr>
        <w:pStyle w:val="ListBullet"/>
      </w:pPr>
      <w:r>
        <w:t>Confirm the field development plan narrative with the Oil &amp; Gas Upstream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OGU_01_Production_Operations.xlsx</w:t>
      </w:r>
    </w:p>
    <w:p>
      <w:pPr>
        <w:pStyle w:val="ListBullet"/>
      </w:pPr>
      <w:r>
        <w:t>OGU_02_HSE_Policy.docx</w:t>
      </w:r>
    </w:p>
    <w:p>
      <w:pPr>
        <w:pStyle w:val="ListBullet"/>
      </w:pPr>
      <w:r>
        <w:t>OGU_03_Field_Development_Plan.docx</w:t>
      </w:r>
    </w:p>
    <w:p>
      <w:pPr>
        <w:pStyle w:val="ListBullet"/>
      </w:pPr>
      <w:r>
        <w:t>OGU_04_PSC_Compliance_Tracker.xlsx</w:t>
      </w:r>
    </w:p>
    <w:p>
      <w:pPr>
        <w:pStyle w:val="ListBullet"/>
      </w:pPr>
      <w:r>
        <w:t>OGU_05_SKK_Migas_Reporting.docx</w:t>
      </w:r>
    </w:p>
    <w:p>
      <w:pPr>
        <w:pStyle w:val="ListBullet"/>
      </w:pPr>
      <w:r>
        <w:t>OGU_06_Reservoir_Engineering_Report.xlsx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